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A84A5" w14:textId="7FE558C6" w:rsidR="00DE1B94" w:rsidRPr="008924E1" w:rsidRDefault="00DE1B94">
      <w:pPr>
        <w:jc w:val="center"/>
        <w:rPr>
          <w:lang w:val="es-MX" w:eastAsia="es-MX"/>
        </w:rPr>
      </w:pPr>
      <w:r w:rsidRPr="008924E1">
        <w:rPr>
          <w:rFonts w:ascii="Calibri Light" w:hAnsi="Calibri Light"/>
          <w:b/>
          <w:bCs/>
          <w:sz w:val="32"/>
          <w:szCs w:val="32"/>
          <w:lang w:val="es-MX"/>
        </w:rPr>
        <w:t>Coca-Cola Perú y Arca Continental Lindley reafirman su confianza en el Perú con inversión de US$1,000 millones</w:t>
      </w:r>
    </w:p>
    <w:p w14:paraId="658EF927" w14:textId="77777777" w:rsidR="00DE1B94" w:rsidRDefault="00DE1B94" w:rsidP="00DE1B94">
      <w:pPr>
        <w:numPr>
          <w:ilvl w:val="0"/>
          <w:numId w:val="1"/>
        </w:numPr>
        <w:spacing w:before="100" w:beforeAutospacing="1" w:after="100" w:afterAutospacing="1"/>
        <w:jc w:val="both"/>
        <w:rPr>
          <w:lang w:val="es-MX" w:eastAsia="es-MX"/>
        </w:rPr>
      </w:pPr>
      <w:r w:rsidRPr="008924E1">
        <w:rPr>
          <w:rFonts w:ascii="Calibri Light" w:hAnsi="Calibri Light"/>
          <w:i/>
          <w:iCs/>
          <w:lang w:val="es-MX"/>
        </w:rPr>
        <w:t xml:space="preserve">El presupuesto se destinará durante los próximos cinco años a fortalecer infraestructura productiva, capacidades </w:t>
      </w:r>
      <w:r w:rsidRPr="00DE1B94">
        <w:rPr>
          <w:rFonts w:ascii="Calibri Light" w:hAnsi="Calibri Light"/>
          <w:i/>
          <w:iCs/>
          <w:lang w:val="es-MX"/>
        </w:rPr>
        <w:t>de distribución y atención al mercado, empaques retornables y el vínculo cultural de las marcas con el país.</w:t>
      </w:r>
    </w:p>
    <w:p w14:paraId="28EA6D7D" w14:textId="77777777" w:rsidR="00DE1B94" w:rsidRDefault="00DE1B94" w:rsidP="00DE1B94">
      <w:pPr>
        <w:numPr>
          <w:ilvl w:val="0"/>
          <w:numId w:val="1"/>
        </w:numPr>
        <w:spacing w:before="100" w:beforeAutospacing="1" w:after="100" w:afterAutospacing="1"/>
        <w:jc w:val="both"/>
        <w:rPr>
          <w:lang w:val="es-MX" w:eastAsia="es-MX"/>
        </w:rPr>
      </w:pPr>
      <w:r w:rsidRPr="00DE1B94">
        <w:rPr>
          <w:rFonts w:ascii="Calibri Light" w:hAnsi="Calibri Light"/>
          <w:i/>
          <w:iCs/>
          <w:lang w:val="es-MX"/>
        </w:rPr>
        <w:t>El anuncio se realizó en el marco de una visita protocolar de autoridades nacionales a la planta de Arca Continental Lindley en Pucusana.</w:t>
      </w:r>
    </w:p>
    <w:p w14:paraId="7105E73F" w14:textId="1A4D841A" w:rsidR="00B42CF5" w:rsidRDefault="00DE1B94">
      <w:pPr>
        <w:jc w:val="both"/>
        <w:rPr>
          <w:rFonts w:ascii="Calibri Light" w:hAnsi="Calibri Light"/>
          <w:lang w:val="es-MX"/>
        </w:rPr>
      </w:pPr>
      <w:r w:rsidRPr="00DE1B94">
        <w:rPr>
          <w:rFonts w:ascii="Calibri Light" w:hAnsi="Calibri Light"/>
          <w:b/>
          <w:bCs/>
          <w:lang w:val="es-MX"/>
        </w:rPr>
        <w:t xml:space="preserve">Lima, 04 de agosto de 2026.- </w:t>
      </w:r>
      <w:r w:rsidRPr="00DE1B94">
        <w:rPr>
          <w:rFonts w:ascii="Calibri Light" w:hAnsi="Calibri Light"/>
          <w:lang w:val="es-MX"/>
        </w:rPr>
        <w:t xml:space="preserve">Coca-Cola Perú y Arca Continental Lindley anunciaron </w:t>
      </w:r>
      <w:r w:rsidR="00C833FB">
        <w:rPr>
          <w:rFonts w:ascii="Calibri Light" w:hAnsi="Calibri Light"/>
          <w:lang w:val="es-MX"/>
        </w:rPr>
        <w:t>una</w:t>
      </w:r>
      <w:r w:rsidRPr="00DE1B94">
        <w:rPr>
          <w:rFonts w:ascii="Calibri Light" w:hAnsi="Calibri Light"/>
          <w:lang w:val="es-MX"/>
        </w:rPr>
        <w:t xml:space="preserve"> inversión de US$1,000 millones en el Perú para los próximos cinco años, con el objetivo de </w:t>
      </w:r>
      <w:r w:rsidR="00266FDB" w:rsidRPr="00DE1B94">
        <w:rPr>
          <w:rFonts w:ascii="Calibri Light" w:hAnsi="Calibri Light"/>
          <w:lang w:val="es-MX"/>
        </w:rPr>
        <w:t>continuar contribuyendo al desarrollo económico y social del país</w:t>
      </w:r>
      <w:r w:rsidR="00266FDB">
        <w:rPr>
          <w:rFonts w:ascii="Calibri Light" w:hAnsi="Calibri Light"/>
          <w:lang w:val="es-MX"/>
        </w:rPr>
        <w:t xml:space="preserve">, </w:t>
      </w:r>
      <w:r w:rsidR="00266FDB" w:rsidRPr="00DE1B94">
        <w:rPr>
          <w:rFonts w:ascii="Calibri Light" w:hAnsi="Calibri Light"/>
          <w:lang w:val="es-MX"/>
        </w:rPr>
        <w:t>impulsar su capacidad de distribución</w:t>
      </w:r>
      <w:r w:rsidR="00266FDB">
        <w:rPr>
          <w:rFonts w:ascii="Calibri Light" w:hAnsi="Calibri Light"/>
          <w:lang w:val="es-MX"/>
        </w:rPr>
        <w:t xml:space="preserve"> y </w:t>
      </w:r>
      <w:r w:rsidRPr="00DE1B94">
        <w:rPr>
          <w:rFonts w:ascii="Calibri Light" w:hAnsi="Calibri Light"/>
          <w:lang w:val="es-MX"/>
        </w:rPr>
        <w:t>fortalecer sus operaciones.</w:t>
      </w:r>
      <w:r w:rsidR="008B126F">
        <w:rPr>
          <w:lang w:val="es-MX" w:eastAsia="es-MX"/>
        </w:rPr>
        <w:t xml:space="preserve"> </w:t>
      </w:r>
      <w:r w:rsidR="008B126F">
        <w:rPr>
          <w:rFonts w:ascii="Calibri Light" w:hAnsi="Calibri Light"/>
          <w:lang w:val="es-MX"/>
        </w:rPr>
        <w:t>El anuncio se dio d</w:t>
      </w:r>
      <w:r w:rsidR="008B126F" w:rsidRPr="008B126F">
        <w:rPr>
          <w:rFonts w:ascii="Calibri Light" w:hAnsi="Calibri Light"/>
          <w:lang w:val="es-MX"/>
        </w:rPr>
        <w:t xml:space="preserve">urante una visita protocolar de la presidenta Keiko Fujimori a </w:t>
      </w:r>
      <w:r w:rsidR="008B126F">
        <w:rPr>
          <w:rFonts w:ascii="Calibri Light" w:hAnsi="Calibri Light"/>
          <w:lang w:val="es-MX"/>
        </w:rPr>
        <w:t>la</w:t>
      </w:r>
      <w:r w:rsidR="008B126F" w:rsidRPr="008B126F">
        <w:rPr>
          <w:rFonts w:ascii="Calibri Light" w:hAnsi="Calibri Light"/>
          <w:lang w:val="es-MX"/>
        </w:rPr>
        <w:t xml:space="preserve"> planta de Pucusana</w:t>
      </w:r>
      <w:r w:rsidR="008B126F">
        <w:rPr>
          <w:rFonts w:ascii="Calibri Light" w:hAnsi="Calibri Light"/>
          <w:lang w:val="es-MX"/>
        </w:rPr>
        <w:t xml:space="preserve"> del embotellador. </w:t>
      </w:r>
    </w:p>
    <w:p w14:paraId="400F6D4A" w14:textId="0288070E" w:rsidR="00DE1B94" w:rsidRDefault="008B126F">
      <w:pPr>
        <w:jc w:val="both"/>
        <w:rPr>
          <w:lang w:val="es-MX" w:eastAsia="es-MX"/>
        </w:rPr>
      </w:pPr>
      <w:r>
        <w:rPr>
          <w:rFonts w:ascii="Calibri Light" w:hAnsi="Calibri Light"/>
          <w:lang w:val="es-MX"/>
        </w:rPr>
        <w:t>La inversión estará</w:t>
      </w:r>
      <w:r w:rsidR="00DE1B94" w:rsidRPr="00DE1B94">
        <w:rPr>
          <w:rFonts w:ascii="Calibri Light" w:hAnsi="Calibri Light"/>
          <w:lang w:val="es-MX"/>
        </w:rPr>
        <w:t xml:space="preserve"> orientada a ampliar y modernizar infraestructura productiva, operativa y de atención al mercado, así como a fortalecer la infraestructura de frío, el uso de empaques retornables y las iniciativas que refuerzan el vínculo cultural de sus marcas con los consumidores peruanos.</w:t>
      </w:r>
    </w:p>
    <w:p w14:paraId="24DA7E14" w14:textId="35D28B83" w:rsidR="00DE1B94" w:rsidRPr="009F2095" w:rsidRDefault="009F2095" w:rsidP="008924E1">
      <w:pPr>
        <w:jc w:val="both"/>
        <w:rPr>
          <w:rFonts w:ascii="Calibri Light" w:hAnsi="Calibri Light"/>
          <w:i/>
          <w:iCs/>
          <w:lang w:val="es-MX"/>
        </w:rPr>
      </w:pPr>
      <w:r w:rsidRPr="009F2095">
        <w:rPr>
          <w:rFonts w:ascii="Calibri Light" w:hAnsi="Calibri Light"/>
          <w:i/>
          <w:iCs/>
          <w:lang w:val="es-MX"/>
        </w:rPr>
        <w:t>“Esta inversión reafirma nuestra confianza de largo plazo en el Perú. En Arca Continental seguiremos fortaleciendo nuestras capacidades productivas, comerciales y de distribución, impulsando un crecimiento rentable y sostenible que genere valor compartido y contribuya al desarrollo de las comunidades donde operamos”</w:t>
      </w:r>
      <w:r>
        <w:rPr>
          <w:rFonts w:ascii="Calibri Light" w:hAnsi="Calibri Light"/>
          <w:i/>
          <w:iCs/>
          <w:lang w:val="es-MX"/>
        </w:rPr>
        <w:t>,</w:t>
      </w:r>
      <w:r w:rsidR="00DE1B94" w:rsidRPr="00DE1B94">
        <w:rPr>
          <w:rFonts w:ascii="Calibri Light" w:hAnsi="Calibri Light"/>
          <w:lang w:val="es-MX"/>
        </w:rPr>
        <w:t xml:space="preserve"> manifestó Enrique Pérez Barba, director ejecutivo de Arca Continental Lindley.</w:t>
      </w:r>
    </w:p>
    <w:p w14:paraId="71A21D1B" w14:textId="77777777" w:rsidR="00DE1B94" w:rsidRDefault="00DE1B94">
      <w:pPr>
        <w:jc w:val="both"/>
        <w:rPr>
          <w:lang w:val="es-MX" w:eastAsia="es-MX"/>
        </w:rPr>
      </w:pPr>
      <w:r w:rsidRPr="00DE1B94">
        <w:rPr>
          <w:rFonts w:ascii="Calibri Light" w:hAnsi="Calibri Light"/>
          <w:b/>
          <w:bCs/>
          <w:lang w:val="es-MX"/>
        </w:rPr>
        <w:t>Compromiso con las comunidades ante el Fenómeno de El Niño Costero</w:t>
      </w:r>
    </w:p>
    <w:p w14:paraId="7EA36AD4" w14:textId="1B577AD7" w:rsidR="00DE1B94" w:rsidRDefault="00DE1B94">
      <w:pPr>
        <w:jc w:val="both"/>
        <w:rPr>
          <w:lang w:val="es-MX" w:eastAsia="es-MX"/>
        </w:rPr>
      </w:pPr>
      <w:r w:rsidRPr="00DE1B94">
        <w:rPr>
          <w:rFonts w:ascii="Calibri Light" w:hAnsi="Calibri Light"/>
          <w:lang w:val="es-MX"/>
        </w:rPr>
        <w:t>Como parte de su compromiso con el bienestar de las comunidades, Coca-Cola Perú y Arca Continental Lindley anunciaron también acciones de apoyo ante los efectos del Fenómeno de El Niño Costero, en coordinación con las autoridades competentes.</w:t>
      </w:r>
    </w:p>
    <w:p w14:paraId="091A7AF3" w14:textId="36E5BA30" w:rsidR="00DE1B94" w:rsidRDefault="00DE1B94">
      <w:pPr>
        <w:jc w:val="both"/>
        <w:rPr>
          <w:rFonts w:ascii="Calibri Light" w:hAnsi="Calibri Light"/>
          <w:lang w:val="es-MX"/>
        </w:rPr>
      </w:pPr>
      <w:r w:rsidRPr="00DE1B94">
        <w:rPr>
          <w:rFonts w:ascii="Calibri Light" w:hAnsi="Calibri Light"/>
          <w:i/>
          <w:iCs/>
          <w:lang w:val="es-MX"/>
        </w:rPr>
        <w:t xml:space="preserve">“Nuestro compromiso con el Perú va más allá de nuestras inversiones: buscamos contribuir al bienestar de las comunidades. Por ello, pondremos a disposición 2 millones de litros de agua y 150 mil mantas elaboradas a partir de botellas PET recicladas, para apoyar a las familias que </w:t>
      </w:r>
      <w:r w:rsidR="00C833FB">
        <w:rPr>
          <w:rFonts w:ascii="Calibri Light" w:hAnsi="Calibri Light"/>
          <w:i/>
          <w:iCs/>
          <w:lang w:val="es-MX"/>
        </w:rPr>
        <w:t>sean</w:t>
      </w:r>
      <w:r w:rsidRPr="00DE1B94">
        <w:rPr>
          <w:rFonts w:ascii="Calibri Light" w:hAnsi="Calibri Light"/>
          <w:i/>
          <w:iCs/>
          <w:lang w:val="es-MX"/>
        </w:rPr>
        <w:t xml:space="preserve"> afectadas por el Fenómeno de El Niño Costero”</w:t>
      </w:r>
      <w:r w:rsidRPr="00DE1B94">
        <w:rPr>
          <w:rFonts w:ascii="Calibri Light" w:hAnsi="Calibri Light"/>
          <w:lang w:val="es-MX"/>
        </w:rPr>
        <w:t>, señaló David Peñalver, gerente general de Coca-Cola Perú.</w:t>
      </w:r>
    </w:p>
    <w:p w14:paraId="2D4D9982" w14:textId="77777777" w:rsidR="005279F7" w:rsidRDefault="005279F7">
      <w:pPr>
        <w:jc w:val="both"/>
        <w:rPr>
          <w:rFonts w:ascii="Calibri Light" w:hAnsi="Calibri Light"/>
          <w:lang w:val="es-MX"/>
        </w:rPr>
      </w:pPr>
    </w:p>
    <w:p w14:paraId="6DBD4E9F" w14:textId="77777777" w:rsidR="0019242A" w:rsidRPr="007D27A4" w:rsidRDefault="0019242A" w:rsidP="004D57C4">
      <w:pPr>
        <w:jc w:val="both"/>
        <w:rPr>
          <w:rFonts w:ascii="Calibri Light" w:hAnsi="Calibri Light" w:cs="Calibri Light"/>
          <w:b/>
          <w:bCs/>
          <w:lang w:val="es-ES"/>
        </w:rPr>
      </w:pPr>
      <w:r w:rsidRPr="007D27A4">
        <w:rPr>
          <w:rFonts w:ascii="Calibri Light" w:hAnsi="Calibri Light" w:cs="Calibri Light"/>
          <w:b/>
          <w:bCs/>
          <w:lang w:val="es-ES"/>
        </w:rPr>
        <w:lastRenderedPageBreak/>
        <w:t>Esquema Pucusana</w:t>
      </w:r>
    </w:p>
    <w:p w14:paraId="3D60F007" w14:textId="77777777" w:rsidR="00DE1B94" w:rsidRDefault="00DE1B94">
      <w:pPr>
        <w:jc w:val="both"/>
        <w:rPr>
          <w:lang w:val="es-MX" w:eastAsia="es-MX"/>
        </w:rPr>
      </w:pPr>
      <w:r w:rsidRPr="00DE1B94">
        <w:rPr>
          <w:rFonts w:ascii="Calibri Light" w:hAnsi="Calibri Light"/>
          <w:lang w:val="es-MX"/>
        </w:rPr>
        <w:t>Asimismo, las empresas informaron que continúan avanzando con el Proyecto Esquema Pucusana, iniciativa que, a través del mecanismo de Obras por Impuestos, busca dotar por primera vez de servicio de agua potable y de un sistema moderno de alcantarillado a más de 31 mil vecinos del distrito.</w:t>
      </w:r>
    </w:p>
    <w:p w14:paraId="1D5872F5" w14:textId="0D0A6347" w:rsidR="00DE1B94" w:rsidRDefault="00DE1B94">
      <w:pPr>
        <w:jc w:val="both"/>
        <w:rPr>
          <w:lang w:val="es-MX" w:eastAsia="es-MX"/>
        </w:rPr>
      </w:pPr>
      <w:r w:rsidRPr="00DE1B94">
        <w:rPr>
          <w:rFonts w:ascii="Calibri Light" w:hAnsi="Calibri Light"/>
          <w:lang w:val="es-MX"/>
        </w:rPr>
        <w:t xml:space="preserve">El Esquema Pucusana demandará una inversión de S/ 291 millones y constituye la obra bajo el mecanismo de Obras por Impuestos más grande adjudicada a nivel nacional en 2025. En abril último, Arca Continental Lindley inició la elaboración del expediente técnico de la iniciativa, paso fundamental para concretar la ejecución de la obra, que, </w:t>
      </w:r>
      <w:r w:rsidR="009B0812">
        <w:rPr>
          <w:rFonts w:ascii="Calibri Light" w:hAnsi="Calibri Light"/>
          <w:lang w:val="es-MX"/>
        </w:rPr>
        <w:t>una vez culminada</w:t>
      </w:r>
      <w:r w:rsidRPr="00DE1B94">
        <w:rPr>
          <w:rFonts w:ascii="Calibri Light" w:hAnsi="Calibri Light"/>
          <w:lang w:val="es-MX"/>
        </w:rPr>
        <w:t>, será transferida a Sedapal.</w:t>
      </w:r>
    </w:p>
    <w:p w14:paraId="5291F478" w14:textId="77777777" w:rsidR="00DE1B94" w:rsidRDefault="00DE1B94">
      <w:pPr>
        <w:jc w:val="both"/>
        <w:rPr>
          <w:lang w:val="es-MX" w:eastAsia="es-MX"/>
        </w:rPr>
      </w:pPr>
      <w:r w:rsidRPr="00DE1B94">
        <w:rPr>
          <w:rFonts w:ascii="Calibri Light" w:hAnsi="Calibri Light"/>
          <w:lang w:val="es-MX"/>
        </w:rPr>
        <w:t>El anuncio se realizó durante una visita protocolar a la planta de Arca Continental Lindley en Pucusana, con la participación de autoridades nacionales y representantes de los equipos directivos de Coca-Cola Perú y Arca Continental Lindley para Latinoamérica.</w:t>
      </w:r>
    </w:p>
    <w:p w14:paraId="50BDAD8A" w14:textId="77777777" w:rsidR="005279F7" w:rsidRDefault="005279F7">
      <w:pPr>
        <w:pStyle w:val="NoSpacing"/>
        <w:jc w:val="both"/>
        <w:rPr>
          <w:rFonts w:ascii="Calibri Light" w:hAnsi="Calibri Light"/>
          <w:sz w:val="18"/>
          <w:szCs w:val="18"/>
        </w:rPr>
      </w:pPr>
    </w:p>
    <w:p w14:paraId="7ECD1AFD" w14:textId="77777777" w:rsidR="005279F7" w:rsidRPr="005279F7" w:rsidRDefault="005279F7" w:rsidP="005279F7">
      <w:pPr>
        <w:pStyle w:val="NoSpacing"/>
        <w:jc w:val="both"/>
        <w:rPr>
          <w:rFonts w:ascii="Calibri Light" w:hAnsi="Calibri Light"/>
          <w:sz w:val="18"/>
          <w:szCs w:val="18"/>
          <w:lang w:val="es-PE"/>
        </w:rPr>
      </w:pPr>
      <w:r w:rsidRPr="005279F7">
        <w:rPr>
          <w:rFonts w:ascii="Calibri Light" w:hAnsi="Calibri Light"/>
          <w:b/>
          <w:bCs/>
          <w:sz w:val="18"/>
          <w:szCs w:val="18"/>
          <w:lang w:val="es-PE"/>
        </w:rPr>
        <w:t>Acerca de The Coca</w:t>
      </w:r>
      <w:r w:rsidRPr="005279F7">
        <w:rPr>
          <w:rFonts w:ascii="Calibri Light" w:hAnsi="Calibri Light"/>
          <w:b/>
          <w:bCs/>
          <w:sz w:val="18"/>
          <w:szCs w:val="18"/>
          <w:lang w:val="es-PE"/>
        </w:rPr>
        <w:noBreakHyphen/>
        <w:t>Cola Company</w:t>
      </w:r>
    </w:p>
    <w:p w14:paraId="1D915B37" w14:textId="77777777" w:rsidR="005279F7" w:rsidRPr="005279F7" w:rsidRDefault="005279F7" w:rsidP="005279F7">
      <w:pPr>
        <w:pStyle w:val="NoSpacing"/>
        <w:jc w:val="both"/>
        <w:rPr>
          <w:rFonts w:ascii="Calibri Light" w:hAnsi="Calibri Light" w:cs="Calibri Light"/>
          <w:sz w:val="18"/>
          <w:szCs w:val="18"/>
          <w:lang w:val="es-PE"/>
        </w:rPr>
      </w:pPr>
      <w:r w:rsidRPr="005279F7">
        <w:rPr>
          <w:rFonts w:ascii="Calibri Light" w:hAnsi="Calibri Light" w:cs="Calibri Light"/>
          <w:sz w:val="18"/>
          <w:szCs w:val="18"/>
          <w:lang w:val="es-PE"/>
        </w:rPr>
        <w:t>The Coca</w:t>
      </w:r>
      <w:r w:rsidRPr="005279F7">
        <w:rPr>
          <w:rFonts w:ascii="Calibri Light" w:hAnsi="Calibri Light" w:cs="Calibri Light"/>
          <w:sz w:val="18"/>
          <w:szCs w:val="18"/>
          <w:lang w:val="es-PE"/>
        </w:rPr>
        <w:noBreakHyphen/>
        <w:t>Cola Company (NYSE: KO) es una compañía total de bebidas con productos que se venden en más de 200 países y territorios. El propósito de nuestra compañía es refrescar al mundo y marcar una diferencia. Comercializamos múltiples marcas valuadas en miles de millones de dólares en diversas categorías de bebidas a nivel mundial.</w:t>
      </w:r>
    </w:p>
    <w:p w14:paraId="7D5031D3" w14:textId="2AD1A5E0" w:rsidR="005279F7" w:rsidRPr="005279F7" w:rsidRDefault="005279F7" w:rsidP="005279F7">
      <w:pPr>
        <w:pStyle w:val="NoSpacing"/>
        <w:jc w:val="both"/>
        <w:rPr>
          <w:rFonts w:ascii="Calibri Light" w:hAnsi="Calibri Light" w:cs="Calibri Light"/>
          <w:sz w:val="18"/>
          <w:szCs w:val="18"/>
          <w:lang w:val="es-PE"/>
        </w:rPr>
      </w:pPr>
      <w:r w:rsidRPr="005279F7">
        <w:rPr>
          <w:rFonts w:ascii="Calibri Light" w:hAnsi="Calibri Light" w:cs="Calibri Light"/>
          <w:sz w:val="18"/>
          <w:szCs w:val="18"/>
          <w:lang w:val="es-PE"/>
        </w:rPr>
        <w:t> Nuestro portafolio de bebidas gaseosas incluye marcas icónicas como Coca</w:t>
      </w:r>
      <w:r w:rsidRPr="005279F7">
        <w:rPr>
          <w:rFonts w:ascii="Calibri Light" w:hAnsi="Calibri Light" w:cs="Calibri Light"/>
          <w:sz w:val="18"/>
          <w:szCs w:val="18"/>
          <w:lang w:val="es-PE"/>
        </w:rPr>
        <w:noBreakHyphen/>
        <w:t>Cola, Sprite y Fanta. Nuestras marcas de agua, bebidas deportivas, café y té incluyen Dasani, smartwater, vitaminwater, Topo Chico, BODYARMOR, Powerade, Costa, Georgia, Fuze Tea, Gold Peak y Ayataka. Nuestros jugos, productos lácteos de valor agregado y bebidas de origen vegetal incluyen Minute Maid, Simply, innocent, Del Valle, fairlife y Santa Clara.</w:t>
      </w:r>
    </w:p>
    <w:p w14:paraId="3DF824F7" w14:textId="57705501" w:rsidR="005279F7" w:rsidRPr="005279F7" w:rsidRDefault="005279F7" w:rsidP="005279F7">
      <w:pPr>
        <w:pStyle w:val="NoSpacing"/>
        <w:jc w:val="both"/>
        <w:rPr>
          <w:rFonts w:ascii="Calibri Light" w:hAnsi="Calibri Light" w:cs="Calibri Light"/>
          <w:sz w:val="18"/>
          <w:szCs w:val="18"/>
          <w:lang w:val="es-PE"/>
        </w:rPr>
      </w:pPr>
      <w:r w:rsidRPr="005279F7">
        <w:rPr>
          <w:rFonts w:ascii="Calibri Light" w:hAnsi="Calibri Light" w:cs="Calibri Light"/>
          <w:sz w:val="18"/>
          <w:szCs w:val="18"/>
          <w:lang w:val="es-PE"/>
        </w:rPr>
        <w:t>Transformamos constantemente nuestro portafolio, desde la reducción del contenido de azúcar en nuestras bebidas hasta la introducción de productos innovadores en el mercado. Buscamos generar un impacto positivo en la vida de las personas, las comunidades y el planeta mediante el reabastecimiento de agua, el reciclaje de empaques, prácticas de abastecimiento sostenible y la reducción de emisiones de carbono a lo largo de nuestra cadena de valor.</w:t>
      </w:r>
    </w:p>
    <w:p w14:paraId="5B562908" w14:textId="37D3753F" w:rsidR="007D27A4" w:rsidRPr="00266FDB" w:rsidRDefault="005279F7" w:rsidP="00B42CF5">
      <w:pPr>
        <w:pStyle w:val="NoSpacing"/>
        <w:jc w:val="both"/>
      </w:pPr>
      <w:r w:rsidRPr="005279F7">
        <w:rPr>
          <w:rFonts w:ascii="Calibri Light" w:hAnsi="Calibri Light" w:cs="Calibri Light"/>
          <w:sz w:val="18"/>
          <w:szCs w:val="18"/>
          <w:lang w:val="es-PE"/>
        </w:rPr>
        <w:t xml:space="preserve"> Junto con nuestros socios embotelladores, empleamos a más de 700,000 personas, contribuyendo a generar oportunidades económicas para las comunidades locales en todo el mundo. Para conocer más, visita </w:t>
      </w:r>
      <w:hyperlink r:id="rId7" w:tooltip="https://www.coca-colacompany.com" w:history="1">
        <w:r w:rsidRPr="00266FDB">
          <w:rPr>
            <w:rFonts w:cs="Calibri Light"/>
            <w:sz w:val="20"/>
            <w:szCs w:val="20"/>
            <w:lang w:val="es-PE"/>
          </w:rPr>
          <w:t>www.coca-colacompany.com</w:t>
        </w:r>
      </w:hyperlink>
      <w:r w:rsidRPr="005279F7">
        <w:rPr>
          <w:rFonts w:ascii="Calibri Light" w:hAnsi="Calibri Light" w:cs="Calibri Light"/>
          <w:sz w:val="18"/>
          <w:szCs w:val="18"/>
          <w:lang w:val="es-PE"/>
        </w:rPr>
        <w:t> y síguenos en Instagram, Facebook y LinkedIn.</w:t>
      </w:r>
    </w:p>
    <w:p w14:paraId="56FD01B6" w14:textId="77777777" w:rsidR="00B42CF5" w:rsidRPr="00B42CF5" w:rsidRDefault="00B42CF5" w:rsidP="00B42CF5">
      <w:pPr>
        <w:pStyle w:val="NoSpacing"/>
        <w:jc w:val="both"/>
        <w:rPr>
          <w:rFonts w:ascii="Calibri Light" w:hAnsi="Calibri Light" w:cs="Calibri Light"/>
          <w:sz w:val="18"/>
          <w:szCs w:val="18"/>
          <w:lang w:val="es-PE"/>
        </w:rPr>
      </w:pPr>
    </w:p>
    <w:p w14:paraId="39428AFA" w14:textId="79C5CBC6" w:rsidR="007D27A4" w:rsidRPr="007D27A4" w:rsidRDefault="007D27A4" w:rsidP="007D27A4">
      <w:pPr>
        <w:pStyle w:val="NoSpacing"/>
        <w:jc w:val="both"/>
        <w:rPr>
          <w:rFonts w:ascii="Calibri Light" w:hAnsi="Calibri Light" w:cs="Calibri Light"/>
          <w:b/>
          <w:bCs/>
          <w:sz w:val="18"/>
          <w:szCs w:val="18"/>
          <w:lang w:val="es-PE"/>
        </w:rPr>
      </w:pPr>
      <w:r>
        <w:rPr>
          <w:rFonts w:ascii="Calibri Light" w:hAnsi="Calibri Light" w:cs="Calibri Light"/>
          <w:b/>
          <w:bCs/>
          <w:sz w:val="18"/>
          <w:szCs w:val="18"/>
          <w:lang w:val="es-PE"/>
        </w:rPr>
        <w:t xml:space="preserve">Acerca de </w:t>
      </w:r>
      <w:r w:rsidRPr="007D27A4">
        <w:rPr>
          <w:rFonts w:ascii="Calibri Light" w:hAnsi="Calibri Light" w:cs="Calibri Light"/>
          <w:b/>
          <w:bCs/>
          <w:sz w:val="18"/>
          <w:szCs w:val="18"/>
          <w:lang w:val="es-PE"/>
        </w:rPr>
        <w:t xml:space="preserve">Arca Continental </w:t>
      </w:r>
      <w:r w:rsidR="000A06A6">
        <w:rPr>
          <w:rFonts w:ascii="Calibri Light" w:hAnsi="Calibri Light" w:cs="Calibri Light"/>
          <w:b/>
          <w:bCs/>
          <w:sz w:val="18"/>
          <w:szCs w:val="18"/>
          <w:lang w:val="es-PE"/>
        </w:rPr>
        <w:t>Lindley</w:t>
      </w:r>
    </w:p>
    <w:p w14:paraId="11F2BA08" w14:textId="508F3B4E" w:rsidR="007D27A4" w:rsidRDefault="007D27A4" w:rsidP="007D27A4">
      <w:pPr>
        <w:pStyle w:val="NoSpacing"/>
        <w:jc w:val="both"/>
        <w:rPr>
          <w:rFonts w:ascii="Calibri Light" w:hAnsi="Calibri Light" w:cs="Calibri Light"/>
          <w:sz w:val="18"/>
          <w:szCs w:val="18"/>
          <w:lang w:val="es-PE"/>
        </w:rPr>
      </w:pPr>
      <w:r w:rsidRPr="007D27A4">
        <w:rPr>
          <w:rFonts w:ascii="Calibri Light" w:hAnsi="Calibri Light" w:cs="Calibri Light"/>
          <w:sz w:val="18"/>
          <w:szCs w:val="18"/>
          <w:lang w:val="es-PE"/>
        </w:rPr>
        <w:t xml:space="preserve">Arca Continental </w:t>
      </w:r>
      <w:r w:rsidR="000A06A6">
        <w:rPr>
          <w:rFonts w:ascii="Calibri Light" w:hAnsi="Calibri Light" w:cs="Calibri Light"/>
          <w:sz w:val="18"/>
          <w:szCs w:val="18"/>
          <w:lang w:val="es-PE"/>
        </w:rPr>
        <w:t>Lindley</w:t>
      </w:r>
      <w:r w:rsidR="00257F35">
        <w:rPr>
          <w:rFonts w:ascii="Calibri Light" w:hAnsi="Calibri Light" w:cs="Calibri Light"/>
          <w:sz w:val="18"/>
          <w:szCs w:val="18"/>
          <w:lang w:val="es-PE"/>
        </w:rPr>
        <w:t>, unidad de negocios de Arca Continental,</w:t>
      </w:r>
      <w:r w:rsidRPr="007D27A4">
        <w:rPr>
          <w:rFonts w:ascii="Calibri Light" w:hAnsi="Calibri Light" w:cs="Calibri Light"/>
          <w:sz w:val="18"/>
          <w:szCs w:val="18"/>
          <w:lang w:val="es-PE"/>
        </w:rPr>
        <w:t xml:space="preserve"> es la embotelladora y comercializadora exclusiva de las marcas de Coca-Cola en el </w:t>
      </w:r>
      <w:r w:rsidR="000A06A6">
        <w:rPr>
          <w:rFonts w:ascii="Calibri Light" w:hAnsi="Calibri Light" w:cs="Calibri Light"/>
          <w:sz w:val="18"/>
          <w:szCs w:val="18"/>
          <w:lang w:val="es-PE"/>
        </w:rPr>
        <w:t>Perú</w:t>
      </w:r>
      <w:r w:rsidRPr="007D27A4">
        <w:rPr>
          <w:rFonts w:ascii="Calibri Light" w:hAnsi="Calibri Light" w:cs="Calibri Light"/>
          <w:sz w:val="18"/>
          <w:szCs w:val="18"/>
          <w:lang w:val="es-PE"/>
        </w:rPr>
        <w:t xml:space="preserve">. Se caracteriza por ser una empresa símbolo de la industria de bebidas, al ser la creadora de Inca Kola y contar con una trayectoria de más de 116 años de compromiso e inversión en el </w:t>
      </w:r>
      <w:r w:rsidR="000A06A6">
        <w:rPr>
          <w:rFonts w:ascii="Calibri Light" w:hAnsi="Calibri Light" w:cs="Calibri Light"/>
          <w:sz w:val="18"/>
          <w:szCs w:val="18"/>
          <w:lang w:val="es-PE"/>
        </w:rPr>
        <w:t>país</w:t>
      </w:r>
      <w:r w:rsidRPr="007D27A4">
        <w:rPr>
          <w:rFonts w:ascii="Calibri Light" w:hAnsi="Calibri Light" w:cs="Calibri Light"/>
          <w:sz w:val="18"/>
          <w:szCs w:val="18"/>
          <w:lang w:val="es-PE"/>
        </w:rPr>
        <w:t xml:space="preserve">. Cuenta con seis plantas de producción de bebidas gaseosas, aguas, jugos, isotónicos y energizantes. Con más de 4,500 colaboradores, atiende a más de 370,000 clientes a nivel nacional, consolidando </w:t>
      </w:r>
      <w:r w:rsidR="000A06A6">
        <w:rPr>
          <w:rFonts w:ascii="Calibri Light" w:hAnsi="Calibri Light" w:cs="Calibri Light"/>
          <w:sz w:val="18"/>
          <w:szCs w:val="18"/>
          <w:lang w:val="es-PE"/>
        </w:rPr>
        <w:t xml:space="preserve">una de las </w:t>
      </w:r>
      <w:r w:rsidRPr="007D27A4">
        <w:rPr>
          <w:rFonts w:ascii="Calibri Light" w:hAnsi="Calibri Light" w:cs="Calibri Light"/>
          <w:sz w:val="18"/>
          <w:szCs w:val="18"/>
          <w:lang w:val="es-PE"/>
        </w:rPr>
        <w:t>red</w:t>
      </w:r>
      <w:r w:rsidR="000A06A6">
        <w:rPr>
          <w:rFonts w:ascii="Calibri Light" w:hAnsi="Calibri Light" w:cs="Calibri Light"/>
          <w:sz w:val="18"/>
          <w:szCs w:val="18"/>
          <w:lang w:val="es-PE"/>
        </w:rPr>
        <w:t>es</w:t>
      </w:r>
      <w:r w:rsidRPr="007D27A4">
        <w:rPr>
          <w:rFonts w:ascii="Calibri Light" w:hAnsi="Calibri Light" w:cs="Calibri Light"/>
          <w:sz w:val="18"/>
          <w:szCs w:val="18"/>
          <w:lang w:val="es-PE"/>
        </w:rPr>
        <w:t xml:space="preserve"> comercial</w:t>
      </w:r>
      <w:r w:rsidR="000A06A6">
        <w:rPr>
          <w:rFonts w:ascii="Calibri Light" w:hAnsi="Calibri Light" w:cs="Calibri Light"/>
          <w:sz w:val="18"/>
          <w:szCs w:val="18"/>
          <w:lang w:val="es-PE"/>
        </w:rPr>
        <w:t>es</w:t>
      </w:r>
      <w:r w:rsidRPr="007D27A4">
        <w:rPr>
          <w:rFonts w:ascii="Calibri Light" w:hAnsi="Calibri Light" w:cs="Calibri Light"/>
          <w:sz w:val="18"/>
          <w:szCs w:val="18"/>
          <w:lang w:val="es-PE"/>
        </w:rPr>
        <w:t xml:space="preserve"> y de distribución más grande del país. A nivel global, forma parte de Arca Continental, una de las embotelladoras de Coca-Cola más importantes del mundo, con operaciones en Perú, México, Estados Unidos, Ecuador y Argentina.</w:t>
      </w:r>
    </w:p>
    <w:p w14:paraId="754089D7" w14:textId="77777777" w:rsidR="00257F35" w:rsidRDefault="00257F35" w:rsidP="007D27A4">
      <w:pPr>
        <w:pStyle w:val="NoSpacing"/>
        <w:jc w:val="both"/>
        <w:rPr>
          <w:rFonts w:ascii="Calibri Light" w:hAnsi="Calibri Light" w:cs="Calibri Light"/>
          <w:sz w:val="18"/>
          <w:szCs w:val="18"/>
          <w:lang w:val="es-PE"/>
        </w:rPr>
      </w:pPr>
    </w:p>
    <w:p w14:paraId="31A1E604" w14:textId="77777777" w:rsidR="00257F35" w:rsidRPr="00257F35" w:rsidRDefault="00257F35" w:rsidP="00257F35">
      <w:pPr>
        <w:pStyle w:val="NoSpacing"/>
        <w:rPr>
          <w:rFonts w:ascii="Calibri Light" w:hAnsi="Calibri Light" w:cs="Calibri Light"/>
          <w:sz w:val="18"/>
          <w:szCs w:val="18"/>
          <w:lang w:val="es-MX"/>
        </w:rPr>
      </w:pPr>
      <w:r w:rsidRPr="00257F35">
        <w:rPr>
          <w:rFonts w:ascii="Calibri Light" w:hAnsi="Calibri Light" w:cs="Calibri Light"/>
          <w:b/>
          <w:bCs/>
          <w:sz w:val="18"/>
          <w:szCs w:val="18"/>
          <w:lang w:val="es-EC"/>
        </w:rPr>
        <w:t>Sobre Arca Continental</w:t>
      </w:r>
    </w:p>
    <w:p w14:paraId="1B5640A8" w14:textId="04F5D429" w:rsidR="00257F35" w:rsidRPr="00266FDB" w:rsidRDefault="00257F35" w:rsidP="00266FDB">
      <w:pPr>
        <w:pStyle w:val="NoSpacing"/>
        <w:rPr>
          <w:rFonts w:ascii="Calibri Light" w:hAnsi="Calibri Light" w:cs="Calibri Light"/>
          <w:sz w:val="18"/>
          <w:szCs w:val="18"/>
          <w:lang w:val="es-MX"/>
        </w:rPr>
      </w:pPr>
      <w:r w:rsidRPr="00257F35">
        <w:rPr>
          <w:rFonts w:ascii="Calibri Light" w:hAnsi="Calibri Light" w:cs="Calibri Light"/>
          <w:sz w:val="18"/>
          <w:szCs w:val="18"/>
          <w:lang w:val="es-EC"/>
        </w:rPr>
        <w:t>Arca Continental es una empresa dedicada a la producción, distribución y venta de bebidas de las marcas propiedad de The Coca-Cola Company, así como de botanas bajo las marcas Bokados en México, Inalecsa en Ecuador, y Wise en los Estados Unidos de América. Con una destacada trayectoria de más de 100 años, Arca Continental es la segunda embotelladora de Coca-Cola más grande de América Latina y una de las más importantes del mundo. En su franquicia de Coca-Cola, la empresa atiende a una población de más de 125 millones en la región norte y occidente de México, así como en Ecuador, Perú, en la región norte de Argentina y en la región suroeste de Estados Unidos. Arca Continental cotiza en la Bolsa Mexicana de Valores bajo el símbolo "AC". Para más información sobre Arca Continental, favor de visitar </w:t>
      </w:r>
      <w:hyperlink r:id="rId8" w:history="1">
        <w:r w:rsidRPr="00257F35">
          <w:rPr>
            <w:rStyle w:val="Hyperlink"/>
            <w:rFonts w:ascii="Calibri Light" w:hAnsi="Calibri Light" w:cs="Calibri Light"/>
            <w:sz w:val="18"/>
            <w:szCs w:val="18"/>
            <w:lang w:val="es-EC"/>
          </w:rPr>
          <w:t>www.arcacontal.com</w:t>
        </w:r>
      </w:hyperlink>
      <w:r w:rsidRPr="00257F35">
        <w:rPr>
          <w:rFonts w:ascii="Calibri Light" w:hAnsi="Calibri Light" w:cs="Calibri Light"/>
          <w:sz w:val="18"/>
          <w:szCs w:val="18"/>
          <w:lang w:val="es-EC"/>
        </w:rPr>
        <w:t> </w:t>
      </w:r>
    </w:p>
    <w:sectPr w:rsidR="00257F35" w:rsidRPr="00266FDB" w:rsidSect="006629B7">
      <w:headerReference w:type="default" r:id="rId9"/>
      <w:footerReference w:type="even" r:id="rId10"/>
      <w:footerReference w:type="default" r:id="rId11"/>
      <w:footerReference w:type="first" r:id="rId12"/>
      <w:pgSz w:w="12240" w:h="15840"/>
      <w:pgMar w:top="17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C6643" w14:textId="77777777" w:rsidR="004B43F5" w:rsidRDefault="004B43F5" w:rsidP="006629B7">
      <w:pPr>
        <w:spacing w:after="0" w:line="240" w:lineRule="auto"/>
      </w:pPr>
      <w:r>
        <w:separator/>
      </w:r>
    </w:p>
  </w:endnote>
  <w:endnote w:type="continuationSeparator" w:id="0">
    <w:p w14:paraId="390602E6" w14:textId="77777777" w:rsidR="004B43F5" w:rsidRDefault="004B43F5" w:rsidP="00662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00719" w14:textId="4C80A873" w:rsidR="00266FDB" w:rsidRDefault="00266FDB">
    <w:pPr>
      <w:pStyle w:val="Footer"/>
    </w:pPr>
    <w:r>
      <w:rPr>
        <w:noProof/>
      </w:rPr>
      <mc:AlternateContent>
        <mc:Choice Requires="wps">
          <w:drawing>
            <wp:anchor distT="0" distB="0" distL="0" distR="0" simplePos="0" relativeHeight="251660288" behindDoc="0" locked="0" layoutInCell="1" allowOverlap="1" wp14:anchorId="7ECB1A3E" wp14:editId="77C3AA1A">
              <wp:simplePos x="635" y="635"/>
              <wp:positionH relativeFrom="page">
                <wp:align>center</wp:align>
              </wp:positionH>
              <wp:positionV relativeFrom="page">
                <wp:align>bottom</wp:align>
              </wp:positionV>
              <wp:extent cx="1318260" cy="370205"/>
              <wp:effectExtent l="0" t="0" r="15240" b="0"/>
              <wp:wrapNone/>
              <wp:docPr id="1113748005" name="Text Box 2" descr="Classified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8260" cy="370205"/>
                      </a:xfrm>
                      <a:prstGeom prst="rect">
                        <a:avLst/>
                      </a:prstGeom>
                      <a:noFill/>
                      <a:ln>
                        <a:noFill/>
                      </a:ln>
                    </wps:spPr>
                    <wps:txbx>
                      <w:txbxContent>
                        <w:p w14:paraId="3C1B066F" w14:textId="73D29CF9" w:rsidR="00266FDB" w:rsidRPr="00266FDB" w:rsidRDefault="00266FDB" w:rsidP="00266FDB">
                          <w:pPr>
                            <w:spacing w:after="0"/>
                            <w:rPr>
                              <w:rFonts w:ascii="Aptos" w:eastAsia="Aptos" w:hAnsi="Aptos" w:cs="Aptos"/>
                              <w:noProof/>
                              <w:color w:val="000000"/>
                              <w:sz w:val="20"/>
                              <w:szCs w:val="20"/>
                            </w:rPr>
                          </w:pPr>
                          <w:r w:rsidRPr="00266FDB">
                            <w:rPr>
                              <w:rFonts w:ascii="Aptos" w:eastAsia="Aptos" w:hAnsi="Aptos" w:cs="Aptos"/>
                              <w:noProof/>
                              <w:color w:val="000000"/>
                              <w:sz w:val="20"/>
                              <w:szCs w:val="20"/>
                            </w:rPr>
                            <w:t>Classified -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CB1A3E" id="_x0000_t202" coordsize="21600,21600" o:spt="202" path="m,l,21600r21600,l21600,xe">
              <v:stroke joinstyle="miter"/>
              <v:path gradientshapeok="t" o:connecttype="rect"/>
            </v:shapetype>
            <v:shape id="Text Box 2" o:spid="_x0000_s1026" type="#_x0000_t202" alt="Classified - Confidential" style="position:absolute;margin-left:0;margin-top:0;width:103.8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" filled="f" stroked="f">
              <v:fill o:detectmouseclick="t"/>
              <v:textbox style="mso-fit-shape-to-text:t" inset="0,0,0,15pt">
                <w:txbxContent>
                  <w:p w14:paraId="3C1B066F" w14:textId="73D29CF9" w:rsidR="00266FDB" w:rsidRPr="00266FDB" w:rsidRDefault="00266FDB" w:rsidP="00266FDB">
                    <w:pPr>
                      <w:spacing w:after="0"/>
                      <w:rPr>
                        <w:rFonts w:ascii="Aptos" w:eastAsia="Aptos" w:hAnsi="Aptos" w:cs="Aptos"/>
                        <w:noProof/>
                        <w:color w:val="000000"/>
                        <w:sz w:val="20"/>
                        <w:szCs w:val="20"/>
                      </w:rPr>
                    </w:pPr>
                    <w:r w:rsidRPr="00266FDB">
                      <w:rPr>
                        <w:rFonts w:ascii="Aptos" w:eastAsia="Aptos" w:hAnsi="Aptos" w:cs="Aptos"/>
                        <w:noProof/>
                        <w:color w:val="000000"/>
                        <w:sz w:val="20"/>
                        <w:szCs w:val="20"/>
                      </w:rPr>
                      <w:t>Classified -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9C31F" w14:textId="4266FFB6" w:rsidR="00266FDB" w:rsidRDefault="00266FDB">
    <w:pPr>
      <w:pStyle w:val="Footer"/>
    </w:pPr>
    <w:r>
      <w:rPr>
        <w:noProof/>
      </w:rPr>
      <mc:AlternateContent>
        <mc:Choice Requires="wps">
          <w:drawing>
            <wp:anchor distT="0" distB="0" distL="0" distR="0" simplePos="0" relativeHeight="251661312" behindDoc="0" locked="0" layoutInCell="1" allowOverlap="1" wp14:anchorId="046CC163" wp14:editId="178F8346">
              <wp:simplePos x="914400" y="9417050"/>
              <wp:positionH relativeFrom="page">
                <wp:align>center</wp:align>
              </wp:positionH>
              <wp:positionV relativeFrom="page">
                <wp:align>bottom</wp:align>
              </wp:positionV>
              <wp:extent cx="1318260" cy="370205"/>
              <wp:effectExtent l="0" t="0" r="15240" b="0"/>
              <wp:wrapNone/>
              <wp:docPr id="920995269" name="Text Box 3" descr="Classified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8260" cy="370205"/>
                      </a:xfrm>
                      <a:prstGeom prst="rect">
                        <a:avLst/>
                      </a:prstGeom>
                      <a:noFill/>
                      <a:ln>
                        <a:noFill/>
                      </a:ln>
                    </wps:spPr>
                    <wps:txbx>
                      <w:txbxContent>
                        <w:p w14:paraId="4B48DE20" w14:textId="457E60F8" w:rsidR="00266FDB" w:rsidRPr="00266FDB" w:rsidRDefault="00266FDB" w:rsidP="00266FDB">
                          <w:pPr>
                            <w:spacing w:after="0"/>
                            <w:rPr>
                              <w:rFonts w:ascii="Aptos" w:eastAsia="Aptos" w:hAnsi="Aptos" w:cs="Aptos"/>
                              <w:noProof/>
                              <w:color w:val="000000"/>
                              <w:sz w:val="20"/>
                              <w:szCs w:val="20"/>
                            </w:rPr>
                          </w:pPr>
                          <w:r w:rsidRPr="00266FDB">
                            <w:rPr>
                              <w:rFonts w:ascii="Aptos" w:eastAsia="Aptos" w:hAnsi="Aptos" w:cs="Aptos"/>
                              <w:noProof/>
                              <w:color w:val="000000"/>
                              <w:sz w:val="20"/>
                              <w:szCs w:val="20"/>
                            </w:rPr>
                            <w:t>Classified -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6CC163" id="_x0000_t202" coordsize="21600,21600" o:spt="202" path="m,l,21600r21600,l21600,xe">
              <v:stroke joinstyle="miter"/>
              <v:path gradientshapeok="t" o:connecttype="rect"/>
            </v:shapetype>
            <v:shape id="Text Box 3" o:spid="_x0000_s1027" type="#_x0000_t202" alt="Classified - Confidential" style="position:absolute;margin-left:0;margin-top:0;width:103.8pt;height:29.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" filled="f" stroked="f">
              <v:fill o:detectmouseclick="t"/>
              <v:textbox style="mso-fit-shape-to-text:t" inset="0,0,0,15pt">
                <w:txbxContent>
                  <w:p w14:paraId="4B48DE20" w14:textId="457E60F8" w:rsidR="00266FDB" w:rsidRPr="00266FDB" w:rsidRDefault="00266FDB" w:rsidP="00266FDB">
                    <w:pPr>
                      <w:spacing w:after="0"/>
                      <w:rPr>
                        <w:rFonts w:ascii="Aptos" w:eastAsia="Aptos" w:hAnsi="Aptos" w:cs="Aptos"/>
                        <w:noProof/>
                        <w:color w:val="000000"/>
                        <w:sz w:val="20"/>
                        <w:szCs w:val="20"/>
                      </w:rPr>
                    </w:pPr>
                    <w:r w:rsidRPr="00266FDB">
                      <w:rPr>
                        <w:rFonts w:ascii="Aptos" w:eastAsia="Aptos" w:hAnsi="Aptos" w:cs="Aptos"/>
                        <w:noProof/>
                        <w:color w:val="000000"/>
                        <w:sz w:val="20"/>
                        <w:szCs w:val="20"/>
                      </w:rPr>
                      <w:t>Classified -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4AFF" w14:textId="3437D275" w:rsidR="00266FDB" w:rsidRDefault="00266FDB">
    <w:pPr>
      <w:pStyle w:val="Footer"/>
    </w:pPr>
    <w:r>
      <w:rPr>
        <w:noProof/>
      </w:rPr>
      <mc:AlternateContent>
        <mc:Choice Requires="wps">
          <w:drawing>
            <wp:anchor distT="0" distB="0" distL="0" distR="0" simplePos="0" relativeHeight="251659264" behindDoc="0" locked="0" layoutInCell="1" allowOverlap="1" wp14:anchorId="5C919843" wp14:editId="4D795549">
              <wp:simplePos x="635" y="635"/>
              <wp:positionH relativeFrom="page">
                <wp:align>center</wp:align>
              </wp:positionH>
              <wp:positionV relativeFrom="page">
                <wp:align>bottom</wp:align>
              </wp:positionV>
              <wp:extent cx="1318260" cy="370205"/>
              <wp:effectExtent l="0" t="0" r="15240" b="0"/>
              <wp:wrapNone/>
              <wp:docPr id="759011775" name="Text Box 1" descr="Classified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8260" cy="370205"/>
                      </a:xfrm>
                      <a:prstGeom prst="rect">
                        <a:avLst/>
                      </a:prstGeom>
                      <a:noFill/>
                      <a:ln>
                        <a:noFill/>
                      </a:ln>
                    </wps:spPr>
                    <wps:txbx>
                      <w:txbxContent>
                        <w:p w14:paraId="2C4E62FB" w14:textId="5637F3A6" w:rsidR="00266FDB" w:rsidRPr="00266FDB" w:rsidRDefault="00266FDB" w:rsidP="00266FDB">
                          <w:pPr>
                            <w:spacing w:after="0"/>
                            <w:rPr>
                              <w:rFonts w:ascii="Aptos" w:eastAsia="Aptos" w:hAnsi="Aptos" w:cs="Aptos"/>
                              <w:noProof/>
                              <w:color w:val="000000"/>
                              <w:sz w:val="20"/>
                              <w:szCs w:val="20"/>
                            </w:rPr>
                          </w:pPr>
                          <w:r w:rsidRPr="00266FDB">
                            <w:rPr>
                              <w:rFonts w:ascii="Aptos" w:eastAsia="Aptos" w:hAnsi="Aptos" w:cs="Aptos"/>
                              <w:noProof/>
                              <w:color w:val="000000"/>
                              <w:sz w:val="20"/>
                              <w:szCs w:val="20"/>
                            </w:rPr>
                            <w:t>Classified -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919843" id="_x0000_t202" coordsize="21600,21600" o:spt="202" path="m,l,21600r21600,l21600,xe">
              <v:stroke joinstyle="miter"/>
              <v:path gradientshapeok="t" o:connecttype="rect"/>
            </v:shapetype>
            <v:shape id="Text Box 1" o:spid="_x0000_s1028" type="#_x0000_t202" alt="Classified - Confidential" style="position:absolute;margin-left:0;margin-top:0;width:103.8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" filled="f" stroked="f">
              <v:fill o:detectmouseclick="t"/>
              <v:textbox style="mso-fit-shape-to-text:t" inset="0,0,0,15pt">
                <w:txbxContent>
                  <w:p w14:paraId="2C4E62FB" w14:textId="5637F3A6" w:rsidR="00266FDB" w:rsidRPr="00266FDB" w:rsidRDefault="00266FDB" w:rsidP="00266FDB">
                    <w:pPr>
                      <w:spacing w:after="0"/>
                      <w:rPr>
                        <w:rFonts w:ascii="Aptos" w:eastAsia="Aptos" w:hAnsi="Aptos" w:cs="Aptos"/>
                        <w:noProof/>
                        <w:color w:val="000000"/>
                        <w:sz w:val="20"/>
                        <w:szCs w:val="20"/>
                      </w:rPr>
                    </w:pPr>
                    <w:r w:rsidRPr="00266FDB">
                      <w:rPr>
                        <w:rFonts w:ascii="Aptos" w:eastAsia="Aptos" w:hAnsi="Aptos" w:cs="Aptos"/>
                        <w:noProof/>
                        <w:color w:val="000000"/>
                        <w:sz w:val="20"/>
                        <w:szCs w:val="20"/>
                      </w:rPr>
                      <w:t>Classified -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57C20" w14:textId="77777777" w:rsidR="004B43F5" w:rsidRDefault="004B43F5" w:rsidP="006629B7">
      <w:pPr>
        <w:spacing w:after="0" w:line="240" w:lineRule="auto"/>
      </w:pPr>
      <w:r>
        <w:separator/>
      </w:r>
    </w:p>
  </w:footnote>
  <w:footnote w:type="continuationSeparator" w:id="0">
    <w:p w14:paraId="7444385A" w14:textId="77777777" w:rsidR="004B43F5" w:rsidRDefault="004B43F5" w:rsidP="00662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6CC50" w14:textId="3A1430E3" w:rsidR="006629B7" w:rsidRDefault="00B36D54">
    <w:pPr>
      <w:pStyle w:val="Header"/>
    </w:pPr>
    <w:r>
      <w:rPr>
        <w:noProof/>
      </w:rPr>
      <w:drawing>
        <wp:inline distT="0" distB="0" distL="0" distR="0" wp14:anchorId="33A44B9C" wp14:editId="40F55CAA">
          <wp:extent cx="869950" cy="416758"/>
          <wp:effectExtent l="0" t="0" r="6350" b="2540"/>
          <wp:docPr id="159298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98047" name="Picture 159298047"/>
                  <pic:cNvPicPr/>
                </pic:nvPicPr>
                <pic:blipFill>
                  <a:blip r:embed="rId1">
                    <a:extLst>
                      <a:ext uri="{28A0092B-C50C-407E-A947-70E740481C1C}">
                        <a14:useLocalDpi xmlns:a14="http://schemas.microsoft.com/office/drawing/2010/main" val="0"/>
                      </a:ext>
                    </a:extLst>
                  </a:blip>
                  <a:stretch>
                    <a:fillRect/>
                  </a:stretch>
                </pic:blipFill>
                <pic:spPr>
                  <a:xfrm>
                    <a:off x="0" y="0"/>
                    <a:ext cx="893864" cy="428214"/>
                  </a:xfrm>
                  <a:prstGeom prst="rect">
                    <a:avLst/>
                  </a:prstGeom>
                </pic:spPr>
              </pic:pic>
            </a:graphicData>
          </a:graphic>
        </wp:inline>
      </w:drawing>
    </w:r>
    <w:r w:rsidR="007D27A4">
      <w:rPr>
        <w:noProof/>
      </w:rPr>
      <w:drawing>
        <wp:anchor distT="0" distB="0" distL="114300" distR="114300" simplePos="0" relativeHeight="251658240" behindDoc="0" locked="0" layoutInCell="1" allowOverlap="1" wp14:anchorId="2EC20BB6" wp14:editId="74AD5EA1">
          <wp:simplePos x="0" y="0"/>
          <wp:positionH relativeFrom="margin">
            <wp:posOffset>4572000</wp:posOffset>
          </wp:positionH>
          <wp:positionV relativeFrom="paragraph">
            <wp:posOffset>-209550</wp:posOffset>
          </wp:positionV>
          <wp:extent cx="981075" cy="739775"/>
          <wp:effectExtent l="0" t="0" r="9525" b="3175"/>
          <wp:wrapSquare wrapText="bothSides"/>
          <wp:docPr id="17965894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589471" name="Imagen 1796589471"/>
                  <pic:cNvPicPr/>
                </pic:nvPicPr>
                <pic:blipFill>
                  <a:blip r:embed="rId2">
                    <a:extLst>
                      <a:ext uri="{28A0092B-C50C-407E-A947-70E740481C1C}">
                        <a14:useLocalDpi xmlns:a14="http://schemas.microsoft.com/office/drawing/2010/main" val="0"/>
                      </a:ext>
                    </a:extLst>
                  </a:blip>
                  <a:stretch>
                    <a:fillRect/>
                  </a:stretch>
                </pic:blipFill>
                <pic:spPr>
                  <a:xfrm>
                    <a:off x="0" y="0"/>
                    <a:ext cx="981075" cy="739775"/>
                  </a:xfrm>
                  <a:prstGeom prst="rect">
                    <a:avLst/>
                  </a:prstGeom>
                </pic:spPr>
              </pic:pic>
            </a:graphicData>
          </a:graphic>
          <wp14:sizeRelH relativeFrom="margin">
            <wp14:pctWidth>0</wp14:pctWidth>
          </wp14:sizeRelH>
          <wp14:sizeRelV relativeFrom="margin">
            <wp14:pctHeight>0</wp14:pctHeight>
          </wp14:sizeRelV>
        </wp:anchor>
      </w:drawing>
    </w:r>
    <w:r w:rsidR="007D27A4">
      <w:br/>
    </w:r>
    <w:r w:rsidR="007D27A4">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C0E7F"/>
    <w:multiLevelType w:val="multilevel"/>
    <w:tmpl w:val="C348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166A62"/>
    <w:multiLevelType w:val="multilevel"/>
    <w:tmpl w:val="F79C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B84DB4"/>
    <w:multiLevelType w:val="hybridMultilevel"/>
    <w:tmpl w:val="66F2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1514445">
    <w:abstractNumId w:val="2"/>
  </w:num>
  <w:num w:numId="2" w16cid:durableId="1513648158">
    <w:abstractNumId w:val="0"/>
  </w:num>
  <w:num w:numId="3" w16cid:durableId="959456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B0E"/>
    <w:rsid w:val="000510BE"/>
    <w:rsid w:val="00093E81"/>
    <w:rsid w:val="000A06A6"/>
    <w:rsid w:val="00117674"/>
    <w:rsid w:val="001242D3"/>
    <w:rsid w:val="001268A4"/>
    <w:rsid w:val="00171458"/>
    <w:rsid w:val="0019242A"/>
    <w:rsid w:val="001B5DA0"/>
    <w:rsid w:val="001E7AB4"/>
    <w:rsid w:val="001F6543"/>
    <w:rsid w:val="002377D1"/>
    <w:rsid w:val="00257F35"/>
    <w:rsid w:val="00261B82"/>
    <w:rsid w:val="00266FDB"/>
    <w:rsid w:val="00284579"/>
    <w:rsid w:val="002A5F3F"/>
    <w:rsid w:val="00410B0E"/>
    <w:rsid w:val="00417AFB"/>
    <w:rsid w:val="00444851"/>
    <w:rsid w:val="004B43F5"/>
    <w:rsid w:val="004B76BE"/>
    <w:rsid w:val="004D57C4"/>
    <w:rsid w:val="005279F7"/>
    <w:rsid w:val="005A231C"/>
    <w:rsid w:val="00614121"/>
    <w:rsid w:val="006629B7"/>
    <w:rsid w:val="00667460"/>
    <w:rsid w:val="007D27A4"/>
    <w:rsid w:val="00815454"/>
    <w:rsid w:val="008924E1"/>
    <w:rsid w:val="00893DAA"/>
    <w:rsid w:val="008B126F"/>
    <w:rsid w:val="008F4555"/>
    <w:rsid w:val="00913DA0"/>
    <w:rsid w:val="00971215"/>
    <w:rsid w:val="009973D5"/>
    <w:rsid w:val="009B0812"/>
    <w:rsid w:val="009F2095"/>
    <w:rsid w:val="00AA0398"/>
    <w:rsid w:val="00AC45DC"/>
    <w:rsid w:val="00B36D54"/>
    <w:rsid w:val="00B42CF5"/>
    <w:rsid w:val="00B6704F"/>
    <w:rsid w:val="00BB05F8"/>
    <w:rsid w:val="00BC71A4"/>
    <w:rsid w:val="00C0468D"/>
    <w:rsid w:val="00C15F68"/>
    <w:rsid w:val="00C343F8"/>
    <w:rsid w:val="00C833FB"/>
    <w:rsid w:val="00CF0DAE"/>
    <w:rsid w:val="00D104D1"/>
    <w:rsid w:val="00D25F97"/>
    <w:rsid w:val="00D9160A"/>
    <w:rsid w:val="00D94397"/>
    <w:rsid w:val="00DC0F1A"/>
    <w:rsid w:val="00DE1B94"/>
    <w:rsid w:val="00E50474"/>
    <w:rsid w:val="00E619C5"/>
    <w:rsid w:val="00EE2442"/>
    <w:rsid w:val="00FB2A69"/>
    <w:rsid w:val="00FE0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F1FC9"/>
  <w15:chartTrackingRefBased/>
  <w15:docId w15:val="{2DD02EF3-664A-4143-9BC2-335E52013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0B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0B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0B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0B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0B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0B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0B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0B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0B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B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0B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0B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0B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0B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0B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0B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0B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0B0E"/>
    <w:rPr>
      <w:rFonts w:eastAsiaTheme="majorEastAsia" w:cstheme="majorBidi"/>
      <w:color w:val="272727" w:themeColor="text1" w:themeTint="D8"/>
    </w:rPr>
  </w:style>
  <w:style w:type="paragraph" w:styleId="Title">
    <w:name w:val="Title"/>
    <w:basedOn w:val="Normal"/>
    <w:next w:val="Normal"/>
    <w:link w:val="TitleChar"/>
    <w:uiPriority w:val="10"/>
    <w:qFormat/>
    <w:rsid w:val="00410B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0B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0B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0B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0B0E"/>
    <w:pPr>
      <w:spacing w:before="160"/>
      <w:jc w:val="center"/>
    </w:pPr>
    <w:rPr>
      <w:i/>
      <w:iCs/>
      <w:color w:val="404040" w:themeColor="text1" w:themeTint="BF"/>
    </w:rPr>
  </w:style>
  <w:style w:type="character" w:customStyle="1" w:styleId="QuoteChar">
    <w:name w:val="Quote Char"/>
    <w:basedOn w:val="DefaultParagraphFont"/>
    <w:link w:val="Quote"/>
    <w:uiPriority w:val="29"/>
    <w:rsid w:val="00410B0E"/>
    <w:rPr>
      <w:i/>
      <w:iCs/>
      <w:color w:val="404040" w:themeColor="text1" w:themeTint="BF"/>
    </w:rPr>
  </w:style>
  <w:style w:type="paragraph" w:styleId="ListParagraph">
    <w:name w:val="List Paragraph"/>
    <w:basedOn w:val="Normal"/>
    <w:uiPriority w:val="34"/>
    <w:qFormat/>
    <w:rsid w:val="00410B0E"/>
    <w:pPr>
      <w:ind w:left="720"/>
      <w:contextualSpacing/>
    </w:pPr>
  </w:style>
  <w:style w:type="character" w:styleId="IntenseEmphasis">
    <w:name w:val="Intense Emphasis"/>
    <w:basedOn w:val="DefaultParagraphFont"/>
    <w:uiPriority w:val="21"/>
    <w:qFormat/>
    <w:rsid w:val="00410B0E"/>
    <w:rPr>
      <w:i/>
      <w:iCs/>
      <w:color w:val="0F4761" w:themeColor="accent1" w:themeShade="BF"/>
    </w:rPr>
  </w:style>
  <w:style w:type="paragraph" w:styleId="IntenseQuote">
    <w:name w:val="Intense Quote"/>
    <w:basedOn w:val="Normal"/>
    <w:next w:val="Normal"/>
    <w:link w:val="IntenseQuoteChar"/>
    <w:uiPriority w:val="30"/>
    <w:qFormat/>
    <w:rsid w:val="00410B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0B0E"/>
    <w:rPr>
      <w:i/>
      <w:iCs/>
      <w:color w:val="0F4761" w:themeColor="accent1" w:themeShade="BF"/>
    </w:rPr>
  </w:style>
  <w:style w:type="character" w:styleId="IntenseReference">
    <w:name w:val="Intense Reference"/>
    <w:basedOn w:val="DefaultParagraphFont"/>
    <w:uiPriority w:val="32"/>
    <w:qFormat/>
    <w:rsid w:val="00410B0E"/>
    <w:rPr>
      <w:b/>
      <w:bCs/>
      <w:smallCaps/>
      <w:color w:val="0F4761" w:themeColor="accent1" w:themeShade="BF"/>
      <w:spacing w:val="5"/>
    </w:rPr>
  </w:style>
  <w:style w:type="paragraph" w:styleId="Header">
    <w:name w:val="header"/>
    <w:basedOn w:val="Normal"/>
    <w:link w:val="HeaderChar"/>
    <w:uiPriority w:val="99"/>
    <w:unhideWhenUsed/>
    <w:rsid w:val="006629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9B7"/>
  </w:style>
  <w:style w:type="paragraph" w:styleId="Footer">
    <w:name w:val="footer"/>
    <w:basedOn w:val="Normal"/>
    <w:link w:val="FooterChar"/>
    <w:uiPriority w:val="99"/>
    <w:unhideWhenUsed/>
    <w:rsid w:val="006629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9B7"/>
  </w:style>
  <w:style w:type="paragraph" w:styleId="NoSpacing">
    <w:name w:val="No Spacing"/>
    <w:uiPriority w:val="1"/>
    <w:qFormat/>
    <w:rsid w:val="007D27A4"/>
    <w:pPr>
      <w:spacing w:after="0" w:line="240" w:lineRule="auto"/>
    </w:pPr>
    <w:rPr>
      <w:kern w:val="0"/>
      <w:sz w:val="22"/>
      <w:szCs w:val="22"/>
      <w:lang w:val="pt-BR"/>
      <w14:ligatures w14:val="none"/>
    </w:rPr>
  </w:style>
  <w:style w:type="paragraph" w:styleId="NormalWeb">
    <w:name w:val="Normal (Web)"/>
    <w:basedOn w:val="Normal"/>
    <w:uiPriority w:val="99"/>
    <w:semiHidden/>
    <w:unhideWhenUsed/>
    <w:rsid w:val="00913DA0"/>
    <w:rPr>
      <w:rFonts w:ascii="Times New Roman" w:hAnsi="Times New Roman" w:cs="Times New Roman"/>
    </w:rPr>
  </w:style>
  <w:style w:type="character" w:styleId="Hyperlink">
    <w:name w:val="Hyperlink"/>
    <w:basedOn w:val="DefaultParagraphFont"/>
    <w:uiPriority w:val="99"/>
    <w:unhideWhenUsed/>
    <w:rsid w:val="00257F35"/>
    <w:rPr>
      <w:color w:val="467886" w:themeColor="hyperlink"/>
      <w:u w:val="single"/>
    </w:rPr>
  </w:style>
  <w:style w:type="character" w:styleId="UnresolvedMention">
    <w:name w:val="Unresolved Mention"/>
    <w:basedOn w:val="DefaultParagraphFont"/>
    <w:uiPriority w:val="99"/>
    <w:semiHidden/>
    <w:unhideWhenUsed/>
    <w:rsid w:val="00257F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caconta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ldefense.com/v3/__https:/www.coca-colacompany.com/__;!!BiPlgCE7GXGj!3Z_RUnvJbtNmUG9YksQ2JQguIW4Z1-l1nLUgRkl7Uap1AVy5z7sWGf2yFQ_21No-PdbnlTUzmnJmn6gmarP7ciTVUT9g$"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702bf62-88e6-456d-b298-e2abb13de1ea}" enabled="1" method="Standard" siteId="{548d26ab-8caa-49e1-97c2-a1b1a06cc39c}" removed="0"/>
  <clbl:label id="{5fb22e38-1a08-4b06-a6dd-a7ec074d3af8}" enabled="1" method="Standard" siteId="{433ec967-f454-49f2-b132-d07f81545e02}"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1034</Words>
  <Characters>5687</Characters>
  <Application>Microsoft Office Word</Application>
  <DocSecurity>0</DocSecurity>
  <Lines>47</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Chirinos &amp; Asociados</dc:creator>
  <cp:keywords/>
  <dc:description/>
  <cp:lastModifiedBy>Daniela Maúrtua</cp:lastModifiedBy>
  <cp:revision>2</cp:revision>
  <dcterms:created xsi:type="dcterms:W3CDTF">2026-08-04T19:06:00Z</dcterms:created>
  <dcterms:modified xsi:type="dcterms:W3CDTF">2026-08-04T19:06:00Z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2d3d99bf,42627225,36e545c5</vt:lpwstr>
  </property>
  <property fmtid="{D5CDD505-2E9C-101B-9397-08002B2CF9AE}" pid="3" name="ClassificationContentMarkingFooterFontProps">
    <vt:lpwstr>#000000,10,Aptos</vt:lpwstr>
  </property>
  <property fmtid="{D5CDD505-2E9C-101B-9397-08002B2CF9AE}" pid="4" name="ClassificationContentMarkingFooterText">
    <vt:lpwstr>Classified - Confidential</vt:lpwstr>
  </property>
</Properties>
</file>