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8995E" w14:textId="78B85E81" w:rsidR="00753006" w:rsidRDefault="00753006" w:rsidP="00753006">
      <w:pPr>
        <w:spacing w:before="100" w:beforeAutospacing="1" w:after="100" w:afterAutospacing="1" w:line="300" w:lineRule="atLeast"/>
        <w:jc w:val="center"/>
        <w:outlineLvl w:val="1"/>
        <w:rPr>
          <w:rFonts w:ascii="Aptos" w:eastAsia="Times New Roman" w:hAnsi="Aptos" w:cs="Segoe UI"/>
          <w:b/>
          <w:bCs/>
          <w:sz w:val="28"/>
          <w:lang w:eastAsia="es-MX"/>
        </w:rPr>
      </w:pPr>
      <w:r w:rsidRPr="00753006">
        <w:rPr>
          <w:rFonts w:ascii="Aptos" w:eastAsia="Times New Roman" w:hAnsi="Aptos" w:cs="Segoe UI"/>
          <w:b/>
          <w:bCs/>
          <w:sz w:val="28"/>
          <w:lang w:eastAsia="es-MX"/>
        </w:rPr>
        <w:t>Arca Continental Ecuador and Coca-Cola Ecuador Strengthen Their Presence in Ecuadorian Sports with Liga Deportiva Universitaria</w:t>
      </w:r>
    </w:p>
    <w:p w14:paraId="540E785E" w14:textId="2AF8A57F" w:rsidR="00753006" w:rsidRPr="00753006" w:rsidRDefault="00753006" w:rsidP="00753006">
      <w:pPr>
        <w:spacing w:before="100" w:beforeAutospacing="1" w:after="100" w:afterAutospacing="1" w:line="300" w:lineRule="atLeast"/>
        <w:jc w:val="center"/>
        <w:outlineLvl w:val="1"/>
        <w:rPr>
          <w:rFonts w:ascii="Aptos" w:eastAsia="Times New Roman" w:hAnsi="Aptos" w:cs="Segoe UI"/>
          <w:b/>
          <w:bCs/>
          <w:sz w:val="28"/>
          <w:lang w:eastAsia="es-MX"/>
        </w:rPr>
      </w:pPr>
      <w:r>
        <w:rPr>
          <w:rFonts w:ascii="Aptos" w:eastAsia="Aptos" w:hAnsi="Aptos" w:cs="Aptos"/>
          <w:b/>
          <w:bCs/>
          <w:noProof/>
          <w:color w:val="000000" w:themeColor="text1"/>
        </w:rPr>
        <w:drawing>
          <wp:inline distT="0" distB="0" distL="0" distR="0" wp14:anchorId="1FF1CE7B" wp14:editId="20F553DD">
            <wp:extent cx="4295808" cy="2471057"/>
            <wp:effectExtent l="0" t="0" r="0" b="5715"/>
            <wp:docPr id="864401962" name="Imagen 2">
              <a:extLst xmlns:a="http://schemas.openxmlformats.org/drawingml/2006/main">
                <a:ext uri="{FF2B5EF4-FFF2-40B4-BE49-F238E27FC236}">
                  <a16:creationId xmlns:a16="http://schemas.microsoft.com/office/drawing/2014/main" id="{19C36120-9676-4319-9222-A0EC0BEEFD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01962" name="Imagen 864401962"/>
                    <pic:cNvPicPr/>
                  </pic:nvPicPr>
                  <pic:blipFill rotWithShape="1">
                    <a:blip r:embed="rId6" cstate="print">
                      <a:extLst>
                        <a:ext uri="{28A0092B-C50C-407E-A947-70E740481C1C}">
                          <a14:useLocalDpi xmlns:a14="http://schemas.microsoft.com/office/drawing/2010/main" val="0"/>
                        </a:ext>
                      </a:extLst>
                    </a:blip>
                    <a:srcRect t="13360"/>
                    <a:stretch>
                      <a:fillRect/>
                    </a:stretch>
                  </pic:blipFill>
                  <pic:spPr bwMode="auto">
                    <a:xfrm>
                      <a:off x="0" y="0"/>
                      <a:ext cx="4316327" cy="2482860"/>
                    </a:xfrm>
                    <a:prstGeom prst="rect">
                      <a:avLst/>
                    </a:prstGeom>
                    <a:ln>
                      <a:noFill/>
                    </a:ln>
                    <a:extLst>
                      <a:ext uri="{53640926-AAD7-44D8-BBD7-CCE9431645EC}">
                        <a14:shadowObscured xmlns:a14="http://schemas.microsoft.com/office/drawing/2010/main"/>
                      </a:ext>
                    </a:extLst>
                  </pic:spPr>
                </pic:pic>
              </a:graphicData>
            </a:graphic>
          </wp:inline>
        </w:drawing>
      </w:r>
    </w:p>
    <w:p w14:paraId="70C0A3A1" w14:textId="77777777" w:rsidR="00753006" w:rsidRPr="00753006" w:rsidRDefault="00753006" w:rsidP="00753006">
      <w:pPr>
        <w:spacing w:before="100" w:beforeAutospacing="1" w:after="100" w:afterAutospacing="1" w:line="300" w:lineRule="atLeast"/>
        <w:rPr>
          <w:rFonts w:ascii="Aptos" w:eastAsia="Times New Roman" w:hAnsi="Aptos" w:cs="Segoe UI"/>
          <w:sz w:val="21"/>
          <w:szCs w:val="21"/>
          <w:lang w:eastAsia="es-MX"/>
        </w:rPr>
      </w:pPr>
      <w:r w:rsidRPr="00753006">
        <w:rPr>
          <w:rFonts w:ascii="Aptos" w:eastAsia="Times New Roman" w:hAnsi="Aptos" w:cs="Segoe UI"/>
          <w:b/>
          <w:bCs/>
          <w:sz w:val="21"/>
          <w:szCs w:val="21"/>
          <w:lang w:eastAsia="es-MX"/>
        </w:rPr>
        <w:t>From left to right:</w:t>
      </w:r>
      <w:r w:rsidRPr="00753006">
        <w:rPr>
          <w:rFonts w:ascii="Aptos" w:eastAsia="Times New Roman" w:hAnsi="Aptos" w:cs="Segoe UI"/>
          <w:sz w:val="21"/>
          <w:szCs w:val="21"/>
          <w:lang w:eastAsia="es-MX"/>
        </w:rPr>
        <w:t xml:space="preserve"> </w:t>
      </w:r>
      <w:r w:rsidRPr="00753006">
        <w:rPr>
          <w:rFonts w:ascii="Aptos" w:eastAsia="Times New Roman" w:hAnsi="Aptos" w:cs="Segoe UI"/>
          <w:i/>
          <w:iCs/>
          <w:sz w:val="21"/>
          <w:szCs w:val="21"/>
          <w:lang w:eastAsia="es-MX"/>
        </w:rPr>
        <w:t>Julio Álvarez, Marketing Manager of Liga Deportiva Universitaria; Guillermo Adam, General Director of Arca Continental Ecuador; Dr. Isaac Álvarez Granda, President of Liga Deportiva Universitaria; and Daniel Moritz, General Manager of Coca-Cola Ecuador</w:t>
      </w:r>
      <w:r w:rsidRPr="00753006">
        <w:rPr>
          <w:rFonts w:ascii="Aptos" w:eastAsia="Times New Roman" w:hAnsi="Aptos" w:cs="Segoe UI"/>
          <w:sz w:val="21"/>
          <w:szCs w:val="21"/>
          <w:lang w:eastAsia="es-MX"/>
        </w:rPr>
        <w:t>.</w:t>
      </w:r>
    </w:p>
    <w:p w14:paraId="29525AB0" w14:textId="77777777" w:rsidR="00753006" w:rsidRPr="00753006" w:rsidRDefault="00753006" w:rsidP="00753006">
      <w:pPr>
        <w:spacing w:before="100" w:beforeAutospacing="1" w:after="100" w:afterAutospacing="1" w:line="300" w:lineRule="atLeast"/>
        <w:rPr>
          <w:rFonts w:ascii="Aptos" w:eastAsia="Times New Roman" w:hAnsi="Aptos" w:cs="Segoe UI"/>
          <w:sz w:val="21"/>
          <w:szCs w:val="21"/>
          <w:lang w:val="en-US" w:eastAsia="es-MX"/>
        </w:rPr>
      </w:pPr>
      <w:r w:rsidRPr="00753006">
        <w:rPr>
          <w:rFonts w:ascii="Aptos" w:eastAsia="Times New Roman" w:hAnsi="Aptos" w:cs="Segoe UI"/>
          <w:b/>
          <w:bCs/>
          <w:sz w:val="21"/>
          <w:szCs w:val="21"/>
          <w:lang w:val="en-US" w:eastAsia="es-MX"/>
        </w:rPr>
        <w:t>Quito, June 2026.</w:t>
      </w:r>
      <w:r w:rsidRPr="00753006">
        <w:rPr>
          <w:rFonts w:ascii="Aptos" w:eastAsia="Times New Roman" w:hAnsi="Aptos" w:cs="Segoe UI"/>
          <w:sz w:val="21"/>
          <w:szCs w:val="21"/>
          <w:lang w:val="en-US" w:eastAsia="es-MX"/>
        </w:rPr>
        <w:t xml:space="preserve"> – Arca Continental and Coca-Cola Ecuador strengthen their relationship with Liga Deportiva Universitaria, one of the most emblematic institutions in the country, to continue growing together through the passion that unites us: football. This alliance reflects shared values such as discipline, teamwork, and commitment, connecting people, communities, and our culture.</w:t>
      </w:r>
    </w:p>
    <w:p w14:paraId="576DEDE0" w14:textId="77777777" w:rsidR="00753006" w:rsidRPr="00753006" w:rsidRDefault="00753006" w:rsidP="00753006">
      <w:pPr>
        <w:spacing w:before="100" w:beforeAutospacing="1" w:after="100" w:afterAutospacing="1" w:line="300" w:lineRule="atLeast"/>
        <w:rPr>
          <w:rFonts w:ascii="Aptos" w:eastAsia="Times New Roman" w:hAnsi="Aptos" w:cs="Segoe UI"/>
          <w:sz w:val="21"/>
          <w:szCs w:val="21"/>
          <w:lang w:val="en-US" w:eastAsia="es-MX"/>
        </w:rPr>
      </w:pPr>
      <w:r w:rsidRPr="00753006">
        <w:rPr>
          <w:rFonts w:ascii="Aptos" w:eastAsia="Times New Roman" w:hAnsi="Aptos" w:cs="Segoe UI"/>
          <w:sz w:val="21"/>
          <w:szCs w:val="21"/>
          <w:lang w:val="en-US" w:eastAsia="es-MX"/>
        </w:rPr>
        <w:t>This agreement includes the use of the club’s brand and image, as well as presence in official spaces such as matches, training sessions, and press conferences.</w:t>
      </w:r>
    </w:p>
    <w:p w14:paraId="2F4B7F58" w14:textId="77777777" w:rsidR="00753006" w:rsidRPr="00753006" w:rsidRDefault="00753006" w:rsidP="00753006">
      <w:pPr>
        <w:spacing w:beforeAutospacing="1" w:after="100" w:afterAutospacing="1" w:line="300" w:lineRule="atLeast"/>
        <w:rPr>
          <w:rFonts w:ascii="Aptos" w:eastAsia="Times New Roman" w:hAnsi="Aptos" w:cs="Segoe UI"/>
          <w:sz w:val="21"/>
          <w:szCs w:val="21"/>
          <w:lang w:val="en-US" w:eastAsia="es-MX"/>
        </w:rPr>
      </w:pPr>
      <w:r w:rsidRPr="00753006">
        <w:rPr>
          <w:rFonts w:ascii="Aptos" w:eastAsia="Times New Roman" w:hAnsi="Aptos" w:cs="Segoe UI"/>
          <w:sz w:val="21"/>
          <w:szCs w:val="21"/>
          <w:lang w:val="en-US" w:eastAsia="es-MX"/>
        </w:rPr>
        <w:t>“There are partnerships that are born to make history. Today, we welcome a new partner on our journey. Together with Arca Continental Ecuador, Coca-Cola, and Powerade, we share the commitment to continue being present in every emotion, every celebration, and every moment with our fans,” said Dr. Isaac Álvarez, President of Liga Deportiva Universitaria.</w:t>
      </w:r>
    </w:p>
    <w:p w14:paraId="7E612C0E" w14:textId="77777777" w:rsidR="00753006" w:rsidRPr="00753006" w:rsidRDefault="00753006" w:rsidP="00753006">
      <w:pPr>
        <w:spacing w:before="100" w:beforeAutospacing="1" w:after="100" w:afterAutospacing="1" w:line="300" w:lineRule="atLeast"/>
        <w:rPr>
          <w:rFonts w:ascii="Aptos" w:eastAsia="Times New Roman" w:hAnsi="Aptos" w:cs="Segoe UI"/>
          <w:sz w:val="21"/>
          <w:szCs w:val="21"/>
          <w:lang w:val="en-US" w:eastAsia="es-MX"/>
        </w:rPr>
      </w:pPr>
      <w:r w:rsidRPr="00753006">
        <w:rPr>
          <w:rFonts w:ascii="Aptos" w:eastAsia="Times New Roman" w:hAnsi="Aptos" w:cs="Segoe UI"/>
          <w:sz w:val="21"/>
          <w:szCs w:val="21"/>
          <w:lang w:val="en-US" w:eastAsia="es-MX"/>
        </w:rPr>
        <w:t>As part of this initiative, Coca-Cola and Powerade—the official sports drink of the FIFA World Cup 2026™—will strategically support the team, strengthening its preparation, hydration, and performance both on and off the field.</w:t>
      </w:r>
    </w:p>
    <w:p w14:paraId="70E41429" w14:textId="77777777" w:rsidR="00753006" w:rsidRPr="00753006" w:rsidRDefault="00753006" w:rsidP="00753006">
      <w:pPr>
        <w:spacing w:beforeAutospacing="1" w:after="100" w:afterAutospacing="1" w:line="300" w:lineRule="atLeast"/>
        <w:rPr>
          <w:rFonts w:ascii="Aptos" w:eastAsia="Times New Roman" w:hAnsi="Aptos" w:cs="Segoe UI"/>
          <w:sz w:val="21"/>
          <w:szCs w:val="21"/>
          <w:lang w:val="en-US" w:eastAsia="es-MX"/>
        </w:rPr>
      </w:pPr>
      <w:r w:rsidRPr="00753006">
        <w:rPr>
          <w:rFonts w:ascii="Aptos" w:eastAsia="Times New Roman" w:hAnsi="Aptos" w:cs="Segoe UI"/>
          <w:sz w:val="21"/>
          <w:szCs w:val="21"/>
          <w:lang w:val="en-US" w:eastAsia="es-MX"/>
        </w:rPr>
        <w:t xml:space="preserve">“This alliance reflects our conviction that sports are a powerful tool for creating value, strengthening bonds with communities, and inspiring new generations. At Arca Continental, together with our partner Coca-Cola, we will continue to invest in initiatives that contribute to the </w:t>
      </w:r>
      <w:r w:rsidRPr="00753006">
        <w:rPr>
          <w:rFonts w:ascii="Aptos" w:eastAsia="Times New Roman" w:hAnsi="Aptos" w:cs="Segoe UI"/>
          <w:sz w:val="21"/>
          <w:szCs w:val="21"/>
          <w:lang w:val="en-US" w:eastAsia="es-MX"/>
        </w:rPr>
        <w:lastRenderedPageBreak/>
        <w:t>development of sports and the progress of the country,” said Guillermo Adam, General Director of Arca Continental Ecuador.</w:t>
      </w:r>
    </w:p>
    <w:p w14:paraId="78E66B7E" w14:textId="77777777" w:rsidR="00753006" w:rsidRPr="00753006" w:rsidRDefault="00753006" w:rsidP="00753006">
      <w:pPr>
        <w:spacing w:before="100" w:beforeAutospacing="1" w:after="100" w:afterAutospacing="1" w:line="300" w:lineRule="atLeast"/>
        <w:rPr>
          <w:rFonts w:ascii="Aptos" w:eastAsia="Times New Roman" w:hAnsi="Aptos" w:cs="Segoe UI"/>
          <w:sz w:val="21"/>
          <w:szCs w:val="21"/>
          <w:lang w:val="en-US" w:eastAsia="es-MX"/>
        </w:rPr>
      </w:pPr>
      <w:r w:rsidRPr="00753006">
        <w:rPr>
          <w:rFonts w:ascii="Aptos" w:eastAsia="Times New Roman" w:hAnsi="Aptos" w:cs="Segoe UI"/>
          <w:sz w:val="21"/>
          <w:szCs w:val="21"/>
          <w:lang w:val="en-US" w:eastAsia="es-MX"/>
        </w:rPr>
        <w:t>For his part, Daniel Moritz, General Manager of Coca-Cola Ecuador, highlighted:</w:t>
      </w:r>
    </w:p>
    <w:p w14:paraId="3AB6B1B1" w14:textId="77777777" w:rsidR="00753006" w:rsidRPr="00753006" w:rsidRDefault="00753006" w:rsidP="00753006">
      <w:pPr>
        <w:spacing w:beforeAutospacing="1" w:after="100" w:afterAutospacing="1" w:line="300" w:lineRule="atLeast"/>
        <w:rPr>
          <w:rFonts w:ascii="Aptos" w:eastAsia="Times New Roman" w:hAnsi="Aptos" w:cs="Segoe UI"/>
          <w:sz w:val="21"/>
          <w:szCs w:val="21"/>
          <w:lang w:val="en-US" w:eastAsia="es-MX"/>
        </w:rPr>
      </w:pPr>
      <w:r w:rsidRPr="00753006">
        <w:rPr>
          <w:rFonts w:ascii="Aptos" w:eastAsia="Times New Roman" w:hAnsi="Aptos" w:cs="Segoe UI"/>
          <w:sz w:val="21"/>
          <w:szCs w:val="21"/>
          <w:lang w:val="en-US" w:eastAsia="es-MX"/>
        </w:rPr>
        <w:t>“For Coca-Cola and Powerade, football plays a very important role. It is a space where we want to be, and where we have been alongside Ecuadorians for nearly 100 years, sharing moments of joy, unity, and excitement. Coca-Cola has been part of those moments when fans come together and celebrate, while Powerade supports the preparation, discipline, and effort of athletes. That is why partnerships like this with Liga Deportiva Universitaria allow us to stay close to fans, their passion, and those moments where the emotion of football is lived from the heart.”</w:t>
      </w:r>
    </w:p>
    <w:p w14:paraId="0DCBA2F4" w14:textId="4A7A5A76" w:rsidR="00753006" w:rsidRDefault="00753006" w:rsidP="00753006">
      <w:pPr>
        <w:spacing w:before="100" w:beforeAutospacing="1" w:after="100" w:afterAutospacing="1" w:line="300" w:lineRule="atLeast"/>
        <w:rPr>
          <w:rFonts w:ascii="Aptos" w:eastAsia="Times New Roman" w:hAnsi="Aptos" w:cs="Segoe UI"/>
          <w:sz w:val="21"/>
          <w:szCs w:val="21"/>
          <w:lang w:val="en-US" w:eastAsia="es-MX"/>
        </w:rPr>
      </w:pPr>
      <w:r w:rsidRPr="00753006">
        <w:rPr>
          <w:rFonts w:ascii="Aptos" w:eastAsia="Times New Roman" w:hAnsi="Aptos" w:cs="Segoe UI"/>
          <w:sz w:val="21"/>
          <w:szCs w:val="21"/>
          <w:lang w:val="en-US" w:eastAsia="es-MX"/>
        </w:rPr>
        <w:t>Through this agreement, Arca Continental Ecuador, Coca-Cola, and Powerade reaffirm their commitment to Ecuadorian sports, helping inspire new generations both on and off the field.</w:t>
      </w:r>
    </w:p>
    <w:p w14:paraId="52ED3FBA" w14:textId="06D4C6B9" w:rsidR="001F40E0" w:rsidRDefault="001F40E0" w:rsidP="00753006">
      <w:pPr>
        <w:spacing w:before="100" w:beforeAutospacing="1" w:after="100" w:afterAutospacing="1" w:line="300" w:lineRule="atLeast"/>
        <w:rPr>
          <w:rFonts w:ascii="Aptos" w:eastAsia="Times New Roman" w:hAnsi="Aptos" w:cs="Segoe UI"/>
          <w:sz w:val="21"/>
          <w:szCs w:val="21"/>
          <w:lang w:val="en-US" w:eastAsia="es-MX"/>
        </w:rPr>
      </w:pPr>
    </w:p>
    <w:p w14:paraId="2BD86D31" w14:textId="56A68E22" w:rsidR="001F40E0" w:rsidRPr="001F40E0" w:rsidRDefault="001F40E0" w:rsidP="00753006">
      <w:pPr>
        <w:spacing w:before="100" w:beforeAutospacing="1" w:after="100" w:afterAutospacing="1" w:line="300" w:lineRule="atLeast"/>
        <w:rPr>
          <w:rFonts w:ascii="Aptos" w:eastAsia="Times New Roman" w:hAnsi="Aptos" w:cs="Segoe UI"/>
          <w:b/>
          <w:bCs/>
          <w:sz w:val="21"/>
          <w:szCs w:val="21"/>
          <w:lang w:val="en-US" w:eastAsia="es-MX"/>
        </w:rPr>
      </w:pPr>
      <w:r w:rsidRPr="001F40E0">
        <w:rPr>
          <w:rFonts w:ascii="Aptos" w:eastAsia="Times New Roman" w:hAnsi="Aptos" w:cs="Segoe UI"/>
          <w:b/>
          <w:bCs/>
          <w:sz w:val="21"/>
          <w:szCs w:val="21"/>
          <w:lang w:val="en-US" w:eastAsia="es-MX"/>
        </w:rPr>
        <w:t xml:space="preserve">Photo Gallery: </w:t>
      </w:r>
    </w:p>
    <w:p w14:paraId="3ECB80D2" w14:textId="7D08A3DF" w:rsidR="001F40E0" w:rsidRDefault="001F40E0" w:rsidP="00753006">
      <w:pPr>
        <w:spacing w:before="100" w:beforeAutospacing="1" w:after="100" w:afterAutospacing="1" w:line="300" w:lineRule="atLeast"/>
        <w:rPr>
          <w:rFonts w:ascii="Aptos" w:eastAsia="Times New Roman" w:hAnsi="Aptos" w:cs="Segoe UI"/>
          <w:sz w:val="21"/>
          <w:szCs w:val="21"/>
          <w:lang w:val="en-US" w:eastAsia="es-MX"/>
        </w:rPr>
      </w:pPr>
      <w:r>
        <w:rPr>
          <w:b/>
          <w:bCs/>
          <w:noProof/>
        </w:rPr>
        <w:drawing>
          <wp:inline distT="0" distB="0" distL="0" distR="0" wp14:anchorId="18B63823" wp14:editId="4AEA7E1F">
            <wp:extent cx="3314895" cy="2209800"/>
            <wp:effectExtent l="0" t="0" r="0" b="0"/>
            <wp:docPr id="1817042901" name="Imagen 3">
              <a:extLst xmlns:a="http://schemas.openxmlformats.org/drawingml/2006/main">
                <a:ext uri="{FF2B5EF4-FFF2-40B4-BE49-F238E27FC236}">
                  <a16:creationId xmlns:a16="http://schemas.microsoft.com/office/drawing/2014/main" id="{4BE2309C-52DE-43F1-BE5F-F0D9DAB5CB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042901" name="Imagen 181704290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43975" cy="2229185"/>
                    </a:xfrm>
                    <a:prstGeom prst="rect">
                      <a:avLst/>
                    </a:prstGeom>
                  </pic:spPr>
                </pic:pic>
              </a:graphicData>
            </a:graphic>
          </wp:inline>
        </w:drawing>
      </w:r>
    </w:p>
    <w:p w14:paraId="4F839A6C" w14:textId="5D64B06D" w:rsidR="001F40E0" w:rsidRPr="00753006" w:rsidRDefault="001F40E0" w:rsidP="00753006">
      <w:pPr>
        <w:spacing w:before="100" w:beforeAutospacing="1" w:after="100" w:afterAutospacing="1" w:line="300" w:lineRule="atLeast"/>
        <w:rPr>
          <w:rFonts w:ascii="Aptos" w:eastAsia="Times New Roman" w:hAnsi="Aptos" w:cs="Segoe UI"/>
          <w:sz w:val="21"/>
          <w:szCs w:val="21"/>
          <w:lang w:val="en-US" w:eastAsia="es-MX"/>
        </w:rPr>
      </w:pPr>
      <w:r>
        <w:rPr>
          <w:b/>
          <w:bCs/>
          <w:noProof/>
        </w:rPr>
        <w:drawing>
          <wp:inline distT="0" distB="0" distL="0" distR="0" wp14:anchorId="7AD12F05" wp14:editId="65495FBB">
            <wp:extent cx="3341914" cy="2227812"/>
            <wp:effectExtent l="0" t="0" r="0" b="1270"/>
            <wp:docPr id="985940927" name="Imagen 4">
              <a:extLst xmlns:a="http://schemas.openxmlformats.org/drawingml/2006/main">
                <a:ext uri="{FF2B5EF4-FFF2-40B4-BE49-F238E27FC236}">
                  <a16:creationId xmlns:a16="http://schemas.microsoft.com/office/drawing/2014/main" id="{565AE765-96C1-4DF1-885E-978AB0A87A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40927" name="Imagen 98594092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74049" cy="2249234"/>
                    </a:xfrm>
                    <a:prstGeom prst="rect">
                      <a:avLst/>
                    </a:prstGeom>
                  </pic:spPr>
                </pic:pic>
              </a:graphicData>
            </a:graphic>
          </wp:inline>
        </w:drawing>
      </w:r>
    </w:p>
    <w:p w14:paraId="58372156" w14:textId="6601F538" w:rsidR="00753006" w:rsidRPr="00753006" w:rsidRDefault="00753006" w:rsidP="00753006">
      <w:pPr>
        <w:spacing w:after="0" w:line="300" w:lineRule="atLeast"/>
        <w:rPr>
          <w:rFonts w:ascii="Aptos" w:eastAsia="Times New Roman" w:hAnsi="Aptos" w:cs="Segoe UI"/>
          <w:sz w:val="21"/>
          <w:szCs w:val="21"/>
          <w:lang w:eastAsia="es-MX"/>
        </w:rPr>
      </w:pPr>
    </w:p>
    <w:p w14:paraId="49902604" w14:textId="77777777" w:rsidR="001F40E0" w:rsidRDefault="00753006" w:rsidP="001F40E0">
      <w:pPr>
        <w:spacing w:before="100" w:beforeAutospacing="1" w:after="100" w:afterAutospacing="1" w:line="300" w:lineRule="atLeast"/>
        <w:outlineLvl w:val="1"/>
        <w:rPr>
          <w:rFonts w:ascii="Aptos" w:eastAsia="Times New Roman" w:hAnsi="Aptos" w:cs="Segoe UI"/>
          <w:b/>
          <w:bCs/>
          <w:color w:val="7F7F7F" w:themeColor="text1" w:themeTint="80"/>
          <w:sz w:val="18"/>
          <w:szCs w:val="18"/>
          <w:u w:val="single"/>
          <w:lang w:val="en-US" w:eastAsia="es-MX"/>
        </w:rPr>
      </w:pPr>
      <w:r w:rsidRPr="00753006">
        <w:rPr>
          <w:rFonts w:ascii="Aptos" w:eastAsia="Times New Roman" w:hAnsi="Aptos" w:cs="Segoe UI"/>
          <w:b/>
          <w:bCs/>
          <w:color w:val="7F7F7F" w:themeColor="text1" w:themeTint="80"/>
          <w:sz w:val="18"/>
          <w:szCs w:val="18"/>
          <w:u w:val="single"/>
          <w:lang w:val="en-US" w:eastAsia="es-MX"/>
        </w:rPr>
        <w:t>About Arca Continental</w:t>
      </w:r>
    </w:p>
    <w:p w14:paraId="5E8D21BA" w14:textId="508CEDEB" w:rsidR="00753006" w:rsidRPr="00753006" w:rsidRDefault="00753006" w:rsidP="001F40E0">
      <w:pPr>
        <w:spacing w:before="100" w:beforeAutospacing="1" w:after="100" w:afterAutospacing="1" w:line="300" w:lineRule="atLeast"/>
        <w:outlineLvl w:val="1"/>
        <w:rPr>
          <w:rFonts w:ascii="Aptos" w:eastAsia="Times New Roman" w:hAnsi="Aptos" w:cs="Segoe UI"/>
          <w:b/>
          <w:bCs/>
          <w:color w:val="7F7F7F" w:themeColor="text1" w:themeTint="80"/>
          <w:sz w:val="18"/>
          <w:szCs w:val="18"/>
          <w:u w:val="single"/>
          <w:lang w:val="en-US" w:eastAsia="es-MX"/>
        </w:rPr>
      </w:pPr>
      <w:r w:rsidRPr="00753006">
        <w:rPr>
          <w:rFonts w:ascii="Aptos" w:eastAsia="Times New Roman" w:hAnsi="Aptos" w:cs="Segoe UI"/>
          <w:color w:val="7F7F7F" w:themeColor="text1" w:themeTint="80"/>
          <w:sz w:val="18"/>
          <w:szCs w:val="18"/>
          <w:lang w:val="en-US" w:eastAsia="es-MX"/>
        </w:rPr>
        <w:t>Arca Continental is a company dedicated to the production, distribution, and sale of beverages under brands owned by The Coca-Cola Company, as well as snacks under the Bokados brand in Mexico, Inalecsa in Ecuador, and Wise in the United States.</w:t>
      </w:r>
    </w:p>
    <w:p w14:paraId="6753BAE7" w14:textId="77777777" w:rsidR="00753006" w:rsidRPr="00753006" w:rsidRDefault="00753006" w:rsidP="00753006">
      <w:pPr>
        <w:spacing w:before="100" w:beforeAutospacing="1" w:after="100" w:afterAutospacing="1" w:line="300" w:lineRule="atLeast"/>
        <w:rPr>
          <w:rFonts w:ascii="Aptos" w:eastAsia="Times New Roman" w:hAnsi="Aptos" w:cs="Segoe UI"/>
          <w:color w:val="7F7F7F" w:themeColor="text1" w:themeTint="80"/>
          <w:sz w:val="18"/>
          <w:szCs w:val="18"/>
          <w:lang w:val="en-US" w:eastAsia="es-MX"/>
        </w:rPr>
      </w:pPr>
      <w:r w:rsidRPr="00753006">
        <w:rPr>
          <w:rFonts w:ascii="Aptos" w:eastAsia="Times New Roman" w:hAnsi="Aptos" w:cs="Segoe UI"/>
          <w:color w:val="7F7F7F" w:themeColor="text1" w:themeTint="80"/>
          <w:sz w:val="18"/>
          <w:szCs w:val="18"/>
          <w:lang w:val="en-US" w:eastAsia="es-MX"/>
        </w:rPr>
        <w:t>With a distinguished history of more than 100 years, Arca Continental is the second-largest Coca-Cola bottler in Latin America and one of the most important worldwide. Within its Coca-Cola franchise, the company serves a population of more than 125 million people across northern and western Mexico, Ecuador, Peru, northern Argentina, and the southwestern region of the United States.</w:t>
      </w:r>
    </w:p>
    <w:p w14:paraId="1236240F" w14:textId="77777777" w:rsidR="00753006" w:rsidRPr="00753006" w:rsidRDefault="00753006" w:rsidP="00753006">
      <w:pPr>
        <w:spacing w:before="100" w:beforeAutospacing="1" w:after="100" w:afterAutospacing="1" w:line="300" w:lineRule="atLeast"/>
        <w:rPr>
          <w:rFonts w:ascii="Aptos" w:eastAsia="Times New Roman" w:hAnsi="Aptos" w:cs="Segoe UI"/>
          <w:color w:val="7F7F7F" w:themeColor="text1" w:themeTint="80"/>
          <w:sz w:val="18"/>
          <w:szCs w:val="18"/>
          <w:lang w:eastAsia="es-MX"/>
        </w:rPr>
      </w:pPr>
      <w:r w:rsidRPr="00753006">
        <w:rPr>
          <w:rFonts w:ascii="Aptos" w:eastAsia="Times New Roman" w:hAnsi="Aptos" w:cs="Segoe UI"/>
          <w:color w:val="7F7F7F" w:themeColor="text1" w:themeTint="80"/>
          <w:sz w:val="18"/>
          <w:szCs w:val="18"/>
          <w:lang w:val="en-US" w:eastAsia="es-MX"/>
        </w:rPr>
        <w:t xml:space="preserve">Arca Continental is listed on the Mexican Stock Exchange under the symbol “AC.” </w:t>
      </w:r>
      <w:r w:rsidRPr="00753006">
        <w:rPr>
          <w:rFonts w:ascii="Aptos" w:eastAsia="Times New Roman" w:hAnsi="Aptos" w:cs="Segoe UI"/>
          <w:color w:val="7F7F7F" w:themeColor="text1" w:themeTint="80"/>
          <w:sz w:val="18"/>
          <w:szCs w:val="18"/>
          <w:lang w:eastAsia="es-MX"/>
        </w:rPr>
        <w:t xml:space="preserve">For more information, please visit: </w:t>
      </w:r>
      <w:hyperlink r:id="rId9" w:history="1">
        <w:r w:rsidRPr="00753006">
          <w:rPr>
            <w:rFonts w:ascii="Aptos" w:eastAsia="Times New Roman" w:hAnsi="Aptos" w:cs="Segoe UI"/>
            <w:color w:val="7F7F7F" w:themeColor="text1" w:themeTint="80"/>
            <w:sz w:val="18"/>
            <w:szCs w:val="18"/>
            <w:lang w:eastAsia="es-MX"/>
          </w:rPr>
          <w:t>www.arcacontal.com</w:t>
        </w:r>
      </w:hyperlink>
    </w:p>
    <w:p w14:paraId="42121BC1" w14:textId="77777777" w:rsidR="00753006" w:rsidRPr="00753006" w:rsidRDefault="00201687" w:rsidP="00753006">
      <w:pPr>
        <w:spacing w:after="0" w:line="300" w:lineRule="atLeast"/>
        <w:rPr>
          <w:rFonts w:ascii="Aptos" w:eastAsia="Times New Roman" w:hAnsi="Aptos" w:cs="Segoe UI"/>
          <w:color w:val="7F7F7F" w:themeColor="text1" w:themeTint="80"/>
          <w:sz w:val="18"/>
          <w:szCs w:val="18"/>
          <w:lang w:eastAsia="es-MX"/>
        </w:rPr>
      </w:pPr>
      <w:r>
        <w:rPr>
          <w:rFonts w:ascii="Aptos" w:eastAsia="Times New Roman" w:hAnsi="Aptos" w:cs="Segoe UI"/>
          <w:color w:val="7F7F7F" w:themeColor="text1" w:themeTint="80"/>
          <w:sz w:val="18"/>
          <w:szCs w:val="18"/>
          <w:lang w:eastAsia="es-MX"/>
        </w:rPr>
        <w:pict w14:anchorId="4521D195">
          <v:rect id="_x0000_i1025" style="width:0;height:1.5pt" o:hralign="center" o:hrstd="t" o:hr="t" fillcolor="#a0a0a0" stroked="f"/>
        </w:pict>
      </w:r>
    </w:p>
    <w:p w14:paraId="4BBF9FD1" w14:textId="77777777" w:rsidR="00753006" w:rsidRPr="00753006" w:rsidRDefault="00753006" w:rsidP="00753006">
      <w:pPr>
        <w:spacing w:before="100" w:beforeAutospacing="1" w:after="100" w:afterAutospacing="1" w:line="300" w:lineRule="atLeast"/>
        <w:outlineLvl w:val="1"/>
        <w:rPr>
          <w:rFonts w:ascii="Aptos" w:eastAsia="Times New Roman" w:hAnsi="Aptos" w:cs="Segoe UI"/>
          <w:b/>
          <w:bCs/>
          <w:color w:val="7F7F7F" w:themeColor="text1" w:themeTint="80"/>
          <w:sz w:val="18"/>
          <w:szCs w:val="18"/>
          <w:lang w:val="en-US" w:eastAsia="es-MX"/>
        </w:rPr>
      </w:pPr>
      <w:r w:rsidRPr="00753006">
        <w:rPr>
          <w:rFonts w:ascii="Aptos" w:eastAsia="Times New Roman" w:hAnsi="Aptos" w:cs="Segoe UI"/>
          <w:b/>
          <w:bCs/>
          <w:color w:val="7F7F7F" w:themeColor="text1" w:themeTint="80"/>
          <w:sz w:val="18"/>
          <w:szCs w:val="18"/>
          <w:lang w:val="en-US" w:eastAsia="es-MX"/>
        </w:rPr>
        <w:t>About The Coca-Cola Company</w:t>
      </w:r>
    </w:p>
    <w:p w14:paraId="1162F390" w14:textId="77777777" w:rsidR="00753006" w:rsidRPr="00753006" w:rsidRDefault="00753006" w:rsidP="00753006">
      <w:pPr>
        <w:spacing w:before="100" w:beforeAutospacing="1" w:after="100" w:afterAutospacing="1" w:line="300" w:lineRule="atLeast"/>
        <w:rPr>
          <w:rFonts w:ascii="Aptos" w:eastAsia="Times New Roman" w:hAnsi="Aptos" w:cs="Segoe UI"/>
          <w:color w:val="7F7F7F" w:themeColor="text1" w:themeTint="80"/>
          <w:sz w:val="18"/>
          <w:szCs w:val="18"/>
          <w:lang w:val="en-US" w:eastAsia="es-MX"/>
        </w:rPr>
      </w:pPr>
      <w:r w:rsidRPr="00753006">
        <w:rPr>
          <w:rFonts w:ascii="Aptos" w:eastAsia="Times New Roman" w:hAnsi="Aptos" w:cs="Segoe UI"/>
          <w:color w:val="7F7F7F" w:themeColor="text1" w:themeTint="80"/>
          <w:sz w:val="18"/>
          <w:szCs w:val="18"/>
          <w:lang w:val="en-US" w:eastAsia="es-MX"/>
        </w:rPr>
        <w:t>The Coca-Cola Company (NYSE: KO) is a total beverage company whose products are sold in more than 200 countries and territories. Our purpose is to refresh the world and make a difference.</w:t>
      </w:r>
    </w:p>
    <w:p w14:paraId="1C269E9A" w14:textId="77777777" w:rsidR="00753006" w:rsidRPr="00753006" w:rsidRDefault="00753006" w:rsidP="00753006">
      <w:pPr>
        <w:spacing w:before="100" w:beforeAutospacing="1" w:after="100" w:afterAutospacing="1" w:line="300" w:lineRule="atLeast"/>
        <w:rPr>
          <w:rFonts w:ascii="Aptos" w:eastAsia="Times New Roman" w:hAnsi="Aptos" w:cs="Segoe UI"/>
          <w:color w:val="7F7F7F" w:themeColor="text1" w:themeTint="80"/>
          <w:sz w:val="18"/>
          <w:szCs w:val="18"/>
          <w:lang w:val="en-US" w:eastAsia="es-MX"/>
        </w:rPr>
      </w:pPr>
      <w:r w:rsidRPr="00753006">
        <w:rPr>
          <w:rFonts w:ascii="Aptos" w:eastAsia="Times New Roman" w:hAnsi="Aptos" w:cs="Segoe UI"/>
          <w:color w:val="7F7F7F" w:themeColor="text1" w:themeTint="80"/>
          <w:sz w:val="18"/>
          <w:szCs w:val="18"/>
          <w:lang w:val="en-US" w:eastAsia="es-MX"/>
        </w:rPr>
        <w:t>We sell multiple billion-dollar brands across several beverage categories worldwide. Our portfolio of sparkling soft drink brands includes Coca-Cola, Sprite, and Fanta. Some of our hydration, sports, coffee, and tea brands include Dasani, SmartWater, vitaminwater, Topo Chico, BODYARMOR, Powerade, Costa, Georgia, Gold Peak, Honest, and Ayataka. Our nutrition, juice, dairy, and plant-based beverage brands include Minute Maid, Simply, innocent, Del Valle, fairlife, and AdeS.</w:t>
      </w:r>
    </w:p>
    <w:p w14:paraId="109F31C5" w14:textId="77777777" w:rsidR="00753006" w:rsidRPr="00753006" w:rsidRDefault="00753006" w:rsidP="00753006">
      <w:pPr>
        <w:spacing w:before="100" w:beforeAutospacing="1" w:after="100" w:afterAutospacing="1" w:line="300" w:lineRule="atLeast"/>
        <w:rPr>
          <w:rFonts w:ascii="Aptos" w:eastAsia="Times New Roman" w:hAnsi="Aptos" w:cs="Segoe UI"/>
          <w:color w:val="7F7F7F" w:themeColor="text1" w:themeTint="80"/>
          <w:sz w:val="18"/>
          <w:szCs w:val="18"/>
          <w:lang w:val="en-US" w:eastAsia="es-MX"/>
        </w:rPr>
      </w:pPr>
      <w:r w:rsidRPr="00753006">
        <w:rPr>
          <w:rFonts w:ascii="Aptos" w:eastAsia="Times New Roman" w:hAnsi="Aptos" w:cs="Segoe UI"/>
          <w:color w:val="7F7F7F" w:themeColor="text1" w:themeTint="80"/>
          <w:sz w:val="18"/>
          <w:szCs w:val="18"/>
          <w:lang w:val="en-US" w:eastAsia="es-MX"/>
        </w:rPr>
        <w:t xml:space="preserve">For more information, visit </w:t>
      </w:r>
      <w:hyperlink r:id="rId10" w:history="1">
        <w:r w:rsidRPr="00753006">
          <w:rPr>
            <w:rFonts w:ascii="Aptos" w:eastAsia="Times New Roman" w:hAnsi="Aptos" w:cs="Segoe UI"/>
            <w:color w:val="7F7F7F" w:themeColor="text1" w:themeTint="80"/>
            <w:sz w:val="18"/>
            <w:szCs w:val="18"/>
            <w:lang w:val="en-US" w:eastAsia="es-MX"/>
          </w:rPr>
          <w:t>www.coca-colacompany.com</w:t>
        </w:r>
      </w:hyperlink>
      <w:r w:rsidRPr="00753006">
        <w:rPr>
          <w:rFonts w:ascii="Aptos" w:eastAsia="Times New Roman" w:hAnsi="Aptos" w:cs="Segoe UI"/>
          <w:color w:val="7F7F7F" w:themeColor="text1" w:themeTint="80"/>
          <w:sz w:val="18"/>
          <w:szCs w:val="18"/>
          <w:lang w:val="en-US" w:eastAsia="es-MX"/>
        </w:rPr>
        <w:t xml:space="preserve"> and follow us on Instagram, Facebook, and LinkedIn.</w:t>
      </w:r>
    </w:p>
    <w:p w14:paraId="46451268" w14:textId="77777777" w:rsidR="00753006" w:rsidRPr="00753006" w:rsidRDefault="00201687" w:rsidP="00753006">
      <w:pPr>
        <w:spacing w:after="0" w:line="300" w:lineRule="atLeast"/>
        <w:rPr>
          <w:rFonts w:ascii="Aptos" w:eastAsia="Times New Roman" w:hAnsi="Aptos" w:cs="Segoe UI"/>
          <w:color w:val="7F7F7F" w:themeColor="text1" w:themeTint="80"/>
          <w:sz w:val="18"/>
          <w:szCs w:val="18"/>
          <w:lang w:eastAsia="es-MX"/>
        </w:rPr>
      </w:pPr>
      <w:r>
        <w:rPr>
          <w:rFonts w:ascii="Aptos" w:eastAsia="Times New Roman" w:hAnsi="Aptos" w:cs="Segoe UI"/>
          <w:color w:val="7F7F7F" w:themeColor="text1" w:themeTint="80"/>
          <w:sz w:val="18"/>
          <w:szCs w:val="18"/>
          <w:lang w:eastAsia="es-MX"/>
        </w:rPr>
        <w:pict w14:anchorId="3D721E0A">
          <v:rect id="_x0000_i1026" style="width:0;height:1.5pt" o:hralign="center" o:hrstd="t" o:hr="t" fillcolor="#a0a0a0" stroked="f"/>
        </w:pict>
      </w:r>
    </w:p>
    <w:p w14:paraId="50D4A96F" w14:textId="77777777" w:rsidR="00152EDC" w:rsidRPr="00753006" w:rsidRDefault="00152EDC">
      <w:pPr>
        <w:rPr>
          <w:lang w:val="en-US"/>
        </w:rPr>
      </w:pPr>
    </w:p>
    <w:sectPr w:rsidR="00152EDC" w:rsidRPr="00753006">
      <w:footerReference w:type="even" r:id="rId11"/>
      <w:footerReference w:type="default" r:id="rId12"/>
      <w:footerReference w:type="first" r:id="rId13"/>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4E279" w14:textId="77777777" w:rsidR="00201687" w:rsidRDefault="00201687" w:rsidP="00042635">
      <w:pPr>
        <w:spacing w:after="0" w:line="240" w:lineRule="auto"/>
      </w:pPr>
      <w:r>
        <w:separator/>
      </w:r>
    </w:p>
  </w:endnote>
  <w:endnote w:type="continuationSeparator" w:id="0">
    <w:p w14:paraId="7995B1C9" w14:textId="77777777" w:rsidR="00201687" w:rsidRDefault="00201687" w:rsidP="000426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F8740" w14:textId="7894C187" w:rsidR="00042635" w:rsidRDefault="00042635">
    <w:pPr>
      <w:pStyle w:val="Piedepgina"/>
    </w:pPr>
    <w:r>
      <w:rPr>
        <w:noProof/>
      </w:rPr>
      <mc:AlternateContent>
        <mc:Choice Requires="wps">
          <w:drawing>
            <wp:anchor distT="0" distB="0" distL="0" distR="0" simplePos="0" relativeHeight="251659264" behindDoc="0" locked="0" layoutInCell="1" allowOverlap="1" wp14:anchorId="7DD15DF0" wp14:editId="3AB32BA2">
              <wp:simplePos x="635" y="635"/>
              <wp:positionH relativeFrom="page">
                <wp:align>center</wp:align>
              </wp:positionH>
              <wp:positionV relativeFrom="page">
                <wp:align>bottom</wp:align>
              </wp:positionV>
              <wp:extent cx="1271270" cy="357505"/>
              <wp:effectExtent l="0" t="0" r="5080" b="0"/>
              <wp:wrapNone/>
              <wp:docPr id="2099094920" name="Cuadro de texto 2" descr="Datos Públicos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1270" cy="357505"/>
                      </a:xfrm>
                      <a:prstGeom prst="rect">
                        <a:avLst/>
                      </a:prstGeom>
                      <a:noFill/>
                      <a:ln>
                        <a:noFill/>
                      </a:ln>
                    </wps:spPr>
                    <wps:txbx>
                      <w:txbxContent>
                        <w:p w14:paraId="71134600" w14:textId="0B715D6C" w:rsidR="00042635" w:rsidRPr="00042635" w:rsidRDefault="00042635" w:rsidP="00042635">
                          <w:pPr>
                            <w:spacing w:after="0"/>
                            <w:rPr>
                              <w:rFonts w:ascii="Aptos" w:eastAsia="Aptos" w:hAnsi="Aptos" w:cs="Aptos"/>
                              <w:noProof/>
                              <w:color w:val="000000"/>
                              <w:sz w:val="20"/>
                              <w:szCs w:val="20"/>
                            </w:rPr>
                          </w:pPr>
                          <w:r w:rsidRPr="00042635">
                            <w:rPr>
                              <w:rFonts w:ascii="Aptos" w:eastAsia="Aptos" w:hAnsi="Aptos" w:cs="Aptos"/>
                              <w:noProof/>
                              <w:color w:val="000000"/>
                              <w:sz w:val="20"/>
                              <w:szCs w:val="20"/>
                            </w:rPr>
                            <w:t>Datos Públicos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D15DF0" id="_x0000_t202" coordsize="21600,21600" o:spt="202" path="m,l,21600r21600,l21600,xe">
              <v:stroke joinstyle="miter"/>
              <v:path gradientshapeok="t" o:connecttype="rect"/>
            </v:shapetype>
            <v:shape id="Cuadro de texto 2" o:spid="_x0000_s1026" type="#_x0000_t202" alt="Datos Públicos / Public" style="position:absolute;margin-left:0;margin-top:0;width:100.1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" filled="f" stroked="f">
              <v:fill o:detectmouseclick="t"/>
              <v:textbox style="mso-fit-shape-to-text:t" inset="0,0,0,15pt">
                <w:txbxContent>
                  <w:p w14:paraId="71134600" w14:textId="0B715D6C" w:rsidR="00042635" w:rsidRPr="00042635" w:rsidRDefault="00042635" w:rsidP="00042635">
                    <w:pPr>
                      <w:spacing w:after="0"/>
                      <w:rPr>
                        <w:rFonts w:ascii="Aptos" w:eastAsia="Aptos" w:hAnsi="Aptos" w:cs="Aptos"/>
                        <w:noProof/>
                        <w:color w:val="000000"/>
                        <w:sz w:val="20"/>
                        <w:szCs w:val="20"/>
                      </w:rPr>
                    </w:pPr>
                    <w:r w:rsidRPr="00042635">
                      <w:rPr>
                        <w:rFonts w:ascii="Aptos" w:eastAsia="Aptos" w:hAnsi="Aptos" w:cs="Aptos"/>
                        <w:noProof/>
                        <w:color w:val="000000"/>
                        <w:sz w:val="20"/>
                        <w:szCs w:val="20"/>
                      </w:rPr>
                      <w:t>Datos Públicos /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A7A72" w14:textId="6B378D56" w:rsidR="00042635" w:rsidRDefault="00042635">
    <w:pPr>
      <w:pStyle w:val="Piedepgina"/>
    </w:pPr>
    <w:r>
      <w:rPr>
        <w:noProof/>
      </w:rPr>
      <mc:AlternateContent>
        <mc:Choice Requires="wps">
          <w:drawing>
            <wp:anchor distT="0" distB="0" distL="0" distR="0" simplePos="0" relativeHeight="251660288" behindDoc="0" locked="0" layoutInCell="1" allowOverlap="1" wp14:anchorId="4D35FF5F" wp14:editId="008E11B1">
              <wp:simplePos x="635" y="635"/>
              <wp:positionH relativeFrom="page">
                <wp:align>center</wp:align>
              </wp:positionH>
              <wp:positionV relativeFrom="page">
                <wp:align>bottom</wp:align>
              </wp:positionV>
              <wp:extent cx="1271270" cy="357505"/>
              <wp:effectExtent l="0" t="0" r="5080" b="0"/>
              <wp:wrapNone/>
              <wp:docPr id="1329173146" name="Cuadro de texto 3" descr="Datos Públicos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1270" cy="357505"/>
                      </a:xfrm>
                      <a:prstGeom prst="rect">
                        <a:avLst/>
                      </a:prstGeom>
                      <a:noFill/>
                      <a:ln>
                        <a:noFill/>
                      </a:ln>
                    </wps:spPr>
                    <wps:txbx>
                      <w:txbxContent>
                        <w:p w14:paraId="5707B50B" w14:textId="5DB94ACD" w:rsidR="00042635" w:rsidRPr="00042635" w:rsidRDefault="00042635" w:rsidP="00042635">
                          <w:pPr>
                            <w:spacing w:after="0"/>
                            <w:rPr>
                              <w:rFonts w:ascii="Aptos" w:eastAsia="Aptos" w:hAnsi="Aptos" w:cs="Aptos"/>
                              <w:noProof/>
                              <w:color w:val="000000"/>
                              <w:sz w:val="20"/>
                              <w:szCs w:val="20"/>
                            </w:rPr>
                          </w:pPr>
                          <w:r w:rsidRPr="00042635">
                            <w:rPr>
                              <w:rFonts w:ascii="Aptos" w:eastAsia="Aptos" w:hAnsi="Aptos" w:cs="Aptos"/>
                              <w:noProof/>
                              <w:color w:val="000000"/>
                              <w:sz w:val="20"/>
                              <w:szCs w:val="20"/>
                            </w:rPr>
                            <w:t>Datos Públicos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35FF5F" id="_x0000_t202" coordsize="21600,21600" o:spt="202" path="m,l,21600r21600,l21600,xe">
              <v:stroke joinstyle="miter"/>
              <v:path gradientshapeok="t" o:connecttype="rect"/>
            </v:shapetype>
            <v:shape id="Cuadro de texto 3" o:spid="_x0000_s1027" type="#_x0000_t202" alt="Datos Públicos / Public" style="position:absolute;margin-left:0;margin-top:0;width:100.1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" filled="f" stroked="f">
              <v:fill o:detectmouseclick="t"/>
              <v:textbox style="mso-fit-shape-to-text:t" inset="0,0,0,15pt">
                <w:txbxContent>
                  <w:p w14:paraId="5707B50B" w14:textId="5DB94ACD" w:rsidR="00042635" w:rsidRPr="00042635" w:rsidRDefault="00042635" w:rsidP="00042635">
                    <w:pPr>
                      <w:spacing w:after="0"/>
                      <w:rPr>
                        <w:rFonts w:ascii="Aptos" w:eastAsia="Aptos" w:hAnsi="Aptos" w:cs="Aptos"/>
                        <w:noProof/>
                        <w:color w:val="000000"/>
                        <w:sz w:val="20"/>
                        <w:szCs w:val="20"/>
                      </w:rPr>
                    </w:pPr>
                    <w:r w:rsidRPr="00042635">
                      <w:rPr>
                        <w:rFonts w:ascii="Aptos" w:eastAsia="Aptos" w:hAnsi="Aptos" w:cs="Aptos"/>
                        <w:noProof/>
                        <w:color w:val="000000"/>
                        <w:sz w:val="20"/>
                        <w:szCs w:val="20"/>
                      </w:rPr>
                      <w:t>Datos Públicos /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2CF24" w14:textId="00C6ED73" w:rsidR="00042635" w:rsidRDefault="00042635">
    <w:pPr>
      <w:pStyle w:val="Piedepgina"/>
    </w:pPr>
    <w:r>
      <w:rPr>
        <w:noProof/>
      </w:rPr>
      <mc:AlternateContent>
        <mc:Choice Requires="wps">
          <w:drawing>
            <wp:anchor distT="0" distB="0" distL="0" distR="0" simplePos="0" relativeHeight="251658240" behindDoc="0" locked="0" layoutInCell="1" allowOverlap="1" wp14:anchorId="6A9000FC" wp14:editId="5F814E2B">
              <wp:simplePos x="635" y="635"/>
              <wp:positionH relativeFrom="page">
                <wp:align>center</wp:align>
              </wp:positionH>
              <wp:positionV relativeFrom="page">
                <wp:align>bottom</wp:align>
              </wp:positionV>
              <wp:extent cx="1271270" cy="357505"/>
              <wp:effectExtent l="0" t="0" r="5080" b="0"/>
              <wp:wrapNone/>
              <wp:docPr id="130624145" name="Cuadro de texto 1" descr="Datos Públicos /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71270" cy="357505"/>
                      </a:xfrm>
                      <a:prstGeom prst="rect">
                        <a:avLst/>
                      </a:prstGeom>
                      <a:noFill/>
                      <a:ln>
                        <a:noFill/>
                      </a:ln>
                    </wps:spPr>
                    <wps:txbx>
                      <w:txbxContent>
                        <w:p w14:paraId="0CD0956B" w14:textId="3900E13E" w:rsidR="00042635" w:rsidRPr="00042635" w:rsidRDefault="00042635" w:rsidP="00042635">
                          <w:pPr>
                            <w:spacing w:after="0"/>
                            <w:rPr>
                              <w:rFonts w:ascii="Aptos" w:eastAsia="Aptos" w:hAnsi="Aptos" w:cs="Aptos"/>
                              <w:noProof/>
                              <w:color w:val="000000"/>
                              <w:sz w:val="20"/>
                              <w:szCs w:val="20"/>
                            </w:rPr>
                          </w:pPr>
                          <w:r w:rsidRPr="00042635">
                            <w:rPr>
                              <w:rFonts w:ascii="Aptos" w:eastAsia="Aptos" w:hAnsi="Aptos" w:cs="Aptos"/>
                              <w:noProof/>
                              <w:color w:val="000000"/>
                              <w:sz w:val="20"/>
                              <w:szCs w:val="20"/>
                            </w:rPr>
                            <w:t>Datos Públicos /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9000FC" id="_x0000_t202" coordsize="21600,21600" o:spt="202" path="m,l,21600r21600,l21600,xe">
              <v:stroke joinstyle="miter"/>
              <v:path gradientshapeok="t" o:connecttype="rect"/>
            </v:shapetype>
            <v:shape id="Cuadro de texto 1" o:spid="_x0000_s1028" type="#_x0000_t202" alt="Datos Públicos / Public" style="position:absolute;margin-left:0;margin-top:0;width:100.1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" filled="f" stroked="f">
              <v:fill o:detectmouseclick="t"/>
              <v:textbox style="mso-fit-shape-to-text:t" inset="0,0,0,15pt">
                <w:txbxContent>
                  <w:p w14:paraId="0CD0956B" w14:textId="3900E13E" w:rsidR="00042635" w:rsidRPr="00042635" w:rsidRDefault="00042635" w:rsidP="00042635">
                    <w:pPr>
                      <w:spacing w:after="0"/>
                      <w:rPr>
                        <w:rFonts w:ascii="Aptos" w:eastAsia="Aptos" w:hAnsi="Aptos" w:cs="Aptos"/>
                        <w:noProof/>
                        <w:color w:val="000000"/>
                        <w:sz w:val="20"/>
                        <w:szCs w:val="20"/>
                      </w:rPr>
                    </w:pPr>
                    <w:r w:rsidRPr="00042635">
                      <w:rPr>
                        <w:rFonts w:ascii="Aptos" w:eastAsia="Aptos" w:hAnsi="Aptos" w:cs="Aptos"/>
                        <w:noProof/>
                        <w:color w:val="000000"/>
                        <w:sz w:val="20"/>
                        <w:szCs w:val="20"/>
                      </w:rPr>
                      <w:t>Datos Públicos /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2001C" w14:textId="77777777" w:rsidR="00201687" w:rsidRDefault="00201687" w:rsidP="00042635">
      <w:pPr>
        <w:spacing w:after="0" w:line="240" w:lineRule="auto"/>
      </w:pPr>
      <w:r>
        <w:separator/>
      </w:r>
    </w:p>
  </w:footnote>
  <w:footnote w:type="continuationSeparator" w:id="0">
    <w:p w14:paraId="4A11EC97" w14:textId="77777777" w:rsidR="00201687" w:rsidRDefault="00201687" w:rsidP="0004263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006"/>
    <w:rsid w:val="00042635"/>
    <w:rsid w:val="00152EDC"/>
    <w:rsid w:val="001A253E"/>
    <w:rsid w:val="001F40E0"/>
    <w:rsid w:val="00201687"/>
    <w:rsid w:val="00753006"/>
    <w:rsid w:val="00F454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F81D1"/>
  <w15:chartTrackingRefBased/>
  <w15:docId w15:val="{46DEF6BE-4B09-47C8-B9D9-E1DEB060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753006"/>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53006"/>
    <w:rPr>
      <w:rFonts w:ascii="Times New Roman" w:eastAsia="Times New Roman" w:hAnsi="Times New Roman" w:cs="Times New Roman"/>
      <w:b/>
      <w:bCs/>
      <w:sz w:val="36"/>
      <w:szCs w:val="36"/>
      <w:lang w:eastAsia="es-MX"/>
    </w:rPr>
  </w:style>
  <w:style w:type="character" w:styleId="Hipervnculo">
    <w:name w:val="Hyperlink"/>
    <w:basedOn w:val="Fuentedeprrafopredeter"/>
    <w:uiPriority w:val="99"/>
    <w:semiHidden/>
    <w:unhideWhenUsed/>
    <w:rsid w:val="00753006"/>
    <w:rPr>
      <w:strike w:val="0"/>
      <w:dstrike w:val="0"/>
      <w:color w:val="464FEB"/>
      <w:u w:val="none"/>
      <w:effect w:val="none"/>
    </w:rPr>
  </w:style>
  <w:style w:type="paragraph" w:styleId="NormalWeb">
    <w:name w:val="Normal (Web)"/>
    <w:basedOn w:val="Normal"/>
    <w:uiPriority w:val="99"/>
    <w:semiHidden/>
    <w:unhideWhenUsed/>
    <w:rsid w:val="00753006"/>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Fuerte">
    <w:name w:val="Strong"/>
    <w:basedOn w:val="Fuentedeprrafopredeter"/>
    <w:uiPriority w:val="22"/>
    <w:qFormat/>
    <w:rsid w:val="00753006"/>
    <w:rPr>
      <w:b/>
      <w:bCs/>
    </w:rPr>
  </w:style>
  <w:style w:type="paragraph" w:styleId="Piedepgina">
    <w:name w:val="footer"/>
    <w:basedOn w:val="Normal"/>
    <w:link w:val="PiedepginaCar"/>
    <w:uiPriority w:val="99"/>
    <w:unhideWhenUsed/>
    <w:rsid w:val="0004263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26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256505">
      <w:bodyDiv w:val="1"/>
      <w:marLeft w:val="0"/>
      <w:marRight w:val="0"/>
      <w:marTop w:val="0"/>
      <w:marBottom w:val="0"/>
      <w:divBdr>
        <w:top w:val="none" w:sz="0" w:space="0" w:color="auto"/>
        <w:left w:val="none" w:sz="0" w:space="0" w:color="auto"/>
        <w:bottom w:val="none" w:sz="0" w:space="0" w:color="auto"/>
        <w:right w:val="none" w:sz="0" w:space="0" w:color="auto"/>
      </w:divBdr>
      <w:divsChild>
        <w:div w:id="362950359">
          <w:marLeft w:val="0"/>
          <w:marRight w:val="0"/>
          <w:marTop w:val="0"/>
          <w:marBottom w:val="0"/>
          <w:divBdr>
            <w:top w:val="none" w:sz="0" w:space="0" w:color="auto"/>
            <w:left w:val="none" w:sz="0" w:space="0" w:color="auto"/>
            <w:bottom w:val="none" w:sz="0" w:space="0" w:color="auto"/>
            <w:right w:val="none" w:sz="0" w:space="0" w:color="auto"/>
          </w:divBdr>
          <w:divsChild>
            <w:div w:id="1967351833">
              <w:blockQuote w:val="1"/>
              <w:marLeft w:val="720"/>
              <w:marRight w:val="720"/>
              <w:marTop w:val="100"/>
              <w:marBottom w:val="100"/>
              <w:divBdr>
                <w:top w:val="none" w:sz="0" w:space="0" w:color="auto"/>
                <w:left w:val="none" w:sz="0" w:space="0" w:color="auto"/>
                <w:bottom w:val="none" w:sz="0" w:space="0" w:color="auto"/>
                <w:right w:val="none" w:sz="0" w:space="0" w:color="auto"/>
              </w:divBdr>
            </w:div>
            <w:div w:id="7726771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4835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www.coca-colacompany.com/" TargetMode="External"/><Relationship Id="rId4" Type="http://schemas.openxmlformats.org/officeDocument/2006/relationships/footnotes" Target="footnotes.xml"/><Relationship Id="rId9" Type="http://schemas.openxmlformats.org/officeDocument/2006/relationships/hyperlink" Target="http://www.arcacontal.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fb22e38-1a08-4b06-a6dd-a7ec074d3af8}" enabled="1" method="Standard" siteId="{433ec967-f454-49f2-b132-d07f81545e02}" contentBits="2" removed="0"/>
</clbl:labelList>
</file>

<file path=docProps/app.xml><?xml version="1.0" encoding="utf-8"?>
<Properties xmlns="http://schemas.openxmlformats.org/officeDocument/2006/extended-properties" xmlns:vt="http://schemas.openxmlformats.org/officeDocument/2006/docPropsVTypes">
  <Template>Normal</Template>
  <TotalTime>30</TotalTime>
  <Pages>3</Pages>
  <Words>687</Words>
  <Characters>3780</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MEDELLIN SERGOVIA MIRANDA (AMXEXT)</dc:creator>
  <cp:keywords/>
  <dc:description/>
  <cp:lastModifiedBy>MENDOZA GARZA DIANA ANAID (OFCORP)</cp:lastModifiedBy>
  <cp:revision>3</cp:revision>
  <dcterms:created xsi:type="dcterms:W3CDTF">2026-06-10T22:10:00Z</dcterms:created>
  <dcterms:modified xsi:type="dcterms:W3CDTF">2026-09-23T18:44:00Z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7c92a91,7d1da588,4f39929a</vt:lpwstr>
  </property>
  <property fmtid="{D5CDD505-2E9C-101B-9397-08002B2CF9AE}" pid="3" name="ClassificationContentMarkingFooterFontProps">
    <vt:lpwstr>#000000,10,Aptos</vt:lpwstr>
  </property>
  <property fmtid="{D5CDD505-2E9C-101B-9397-08002B2CF9AE}" pid="4" name="ClassificationContentMarkingFooterText">
    <vt:lpwstr>Datos Públicos / Public</vt:lpwstr>
  </property>
</Properties>
</file>