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D1799" w:rsidRDefault="00A0128E" w14:paraId="5704F319" w14:textId="77777777">
      <w:pPr>
        <w:spacing w:after="0"/>
        <w:jc w:val="center"/>
      </w:pPr>
      <w:r>
        <w:rPr>
          <w:b/>
          <w:bCs/>
          <w:sz w:val="36"/>
          <w:szCs w:val="36"/>
        </w:rPr>
        <w:t>Arca Continental Invests MXN 26 Million in New PetStar Collection Center in Chihuahua</w:t>
      </w:r>
    </w:p>
    <w:p w:rsidR="00AD1799" w:rsidRDefault="00AD1799" w14:paraId="73EEEAA2" w14:textId="77777777">
      <w:pPr>
        <w:spacing w:after="0"/>
        <w:jc w:val="center"/>
        <w:rPr>
          <w:b/>
          <w:bCs/>
          <w:sz w:val="18"/>
          <w:szCs w:val="18"/>
        </w:rPr>
      </w:pPr>
    </w:p>
    <w:p w:rsidR="00AD1799" w:rsidRDefault="00A0128E" w14:paraId="2FAC3FEA" w14:textId="77777777">
      <w:pPr>
        <w:numPr>
          <w:ilvl w:val="0"/>
          <w:numId w:val="1"/>
        </w:numPr>
        <w:pBdr>
          <w:top w:val="nil"/>
          <w:left w:val="nil"/>
          <w:bottom w:val="nil"/>
          <w:right w:val="nil"/>
          <w:between w:val="nil"/>
        </w:pBdr>
        <w:spacing w:after="0" w:line="256" w:lineRule="auto"/>
      </w:pPr>
      <w:r>
        <w:rPr>
          <w:i/>
          <w:iCs/>
          <w:color w:val="000000"/>
        </w:rPr>
        <w:t>The new center will have the capacity to recover up to 54 million PET bottles per year.</w:t>
      </w:r>
    </w:p>
    <w:p w:rsidR="00AD1799" w:rsidRDefault="00A0128E" w14:paraId="7E1CBF9B" w14:textId="77777777">
      <w:pPr>
        <w:numPr>
          <w:ilvl w:val="0"/>
          <w:numId w:val="1"/>
        </w:numPr>
        <w:pBdr>
          <w:top w:val="nil"/>
          <w:left w:val="nil"/>
          <w:bottom w:val="nil"/>
          <w:right w:val="nil"/>
          <w:between w:val="nil"/>
        </w:pBdr>
        <w:spacing w:line="256" w:lineRule="auto"/>
        <w:rPr>
          <w:i/>
          <w:iCs/>
          <w:color w:val="000000"/>
        </w:rPr>
      </w:pPr>
      <w:r>
        <w:rPr>
          <w:i/>
          <w:iCs/>
          <w:color w:val="000000"/>
        </w:rPr>
        <w:t>The project will strengthen the local recycling chain and help generate approximately 650 indirect jobs in the region.</w:t>
      </w:r>
    </w:p>
    <w:p w:rsidR="00AD1799" w:rsidRDefault="00A0128E" w14:paraId="2FEFA814" w14:textId="77777777">
      <w:pPr>
        <w:spacing w:before="240" w:after="240"/>
        <w:jc w:val="both"/>
      </w:pPr>
      <w:r>
        <w:rPr>
          <w:b/>
          <w:bCs/>
        </w:rPr>
        <w:t>Chihuahua, Chihuahua, October 13, 2026. –</w:t>
      </w:r>
      <w:r>
        <w:t xml:space="preserve"> Arca Continental, one of the world’s largest Coca-Cola bottlers and PetStar’s principal shareholder, invested MXN 26 million in a new PetStar Collection Center in Chihuahua. The facility was inaugurated together with Coca-Cola Mexico and PetStar, in collaboration with the Municipality of Chihuahua, to strengthen container recovery infrastructure and advance the circular economy in the region.</w:t>
      </w:r>
    </w:p>
    <w:p w:rsidR="00AD1799" w:rsidRDefault="00A0128E" w14:paraId="180FCA08" w14:textId="08D3346A">
      <w:pPr>
        <w:spacing w:before="240" w:after="240"/>
        <w:jc w:val="both"/>
      </w:pPr>
      <w:r w:rsidR="00A0128E">
        <w:rPr/>
        <w:t xml:space="preserve">With </w:t>
      </w:r>
      <w:r w:rsidR="00A0128E">
        <w:rPr/>
        <w:t>the</w:t>
      </w:r>
      <w:r w:rsidR="00A0128E">
        <w:rPr/>
        <w:t xml:space="preserve"> </w:t>
      </w:r>
      <w:r w:rsidR="00A0128E">
        <w:rPr/>
        <w:t>capacity</w:t>
      </w:r>
      <w:r w:rsidR="00A0128E">
        <w:rPr/>
        <w:t xml:space="preserve"> </w:t>
      </w:r>
      <w:r w:rsidR="00A0128E">
        <w:rPr/>
        <w:t>to</w:t>
      </w:r>
      <w:r w:rsidR="00A0128E">
        <w:rPr/>
        <w:t xml:space="preserve"> </w:t>
      </w:r>
      <w:r w:rsidR="00A0128E">
        <w:rPr/>
        <w:t>recover</w:t>
      </w:r>
      <w:r w:rsidR="00A0128E">
        <w:rPr/>
        <w:t xml:space="preserve"> more </w:t>
      </w:r>
      <w:r w:rsidR="00A0128E">
        <w:rPr/>
        <w:t>than</w:t>
      </w:r>
      <w:r w:rsidR="00A0128E">
        <w:rPr/>
        <w:t xml:space="preserve"> 1,200 </w:t>
      </w:r>
      <w:r w:rsidR="00A0128E">
        <w:rPr/>
        <w:t>tons</w:t>
      </w:r>
      <w:r w:rsidR="00A0128E">
        <w:rPr/>
        <w:t xml:space="preserve"> </w:t>
      </w:r>
      <w:r w:rsidR="00A0128E">
        <w:rPr/>
        <w:t>of</w:t>
      </w:r>
      <w:r w:rsidR="00A0128E">
        <w:rPr/>
        <w:t xml:space="preserve"> PET per </w:t>
      </w:r>
      <w:r w:rsidR="00A0128E">
        <w:rPr/>
        <w:t>year</w:t>
      </w:r>
      <w:r w:rsidR="00A0128E">
        <w:rPr/>
        <w:t xml:space="preserve">, </w:t>
      </w:r>
      <w:r w:rsidR="00A0128E">
        <w:rPr/>
        <w:t>equivalent</w:t>
      </w:r>
      <w:r w:rsidR="00A0128E">
        <w:rPr/>
        <w:t xml:space="preserve"> </w:t>
      </w:r>
      <w:r w:rsidR="00A0128E">
        <w:rPr/>
        <w:t>to</w:t>
      </w:r>
      <w:r w:rsidR="00A0128E">
        <w:rPr/>
        <w:t xml:space="preserve"> 54 </w:t>
      </w:r>
      <w:r w:rsidR="00A0128E">
        <w:rPr/>
        <w:t>million</w:t>
      </w:r>
      <w:r w:rsidR="00A0128E">
        <w:rPr/>
        <w:t xml:space="preserve"> </w:t>
      </w:r>
      <w:r w:rsidR="00A0128E">
        <w:rPr/>
        <w:t>bottles</w:t>
      </w:r>
      <w:r w:rsidR="00A0128E">
        <w:rPr/>
        <w:t xml:space="preserve">, </w:t>
      </w:r>
      <w:r w:rsidR="00A0128E">
        <w:rPr/>
        <w:t>the</w:t>
      </w:r>
      <w:r w:rsidR="00A0128E">
        <w:rPr/>
        <w:t xml:space="preserve"> new center </w:t>
      </w:r>
      <w:r w:rsidR="00A0128E">
        <w:rPr/>
        <w:t>will</w:t>
      </w:r>
      <w:r w:rsidR="00A0128E">
        <w:rPr/>
        <w:t xml:space="preserve"> </w:t>
      </w:r>
      <w:r w:rsidR="00A0128E">
        <w:rPr/>
        <w:t>strengthen</w:t>
      </w:r>
      <w:r w:rsidR="00A0128E">
        <w:rPr/>
        <w:t xml:space="preserve"> </w:t>
      </w:r>
      <w:r w:rsidR="00A0128E">
        <w:rPr/>
        <w:t>the</w:t>
      </w:r>
      <w:r w:rsidR="00A0128E">
        <w:rPr/>
        <w:t xml:space="preserve"> local </w:t>
      </w:r>
      <w:r w:rsidR="00A0128E">
        <w:rPr/>
        <w:t>recycling</w:t>
      </w:r>
      <w:r w:rsidR="00A0128E">
        <w:rPr/>
        <w:t xml:space="preserve"> </w:t>
      </w:r>
      <w:r w:rsidR="00A0128E">
        <w:rPr/>
        <w:t>chain</w:t>
      </w:r>
      <w:r w:rsidR="00A0128E">
        <w:rPr/>
        <w:t xml:space="preserve"> </w:t>
      </w:r>
      <w:r w:rsidR="00A0128E">
        <w:rPr/>
        <w:t>by</w:t>
      </w:r>
      <w:r w:rsidR="00A0128E">
        <w:rPr/>
        <w:t xml:space="preserve"> </w:t>
      </w:r>
      <w:r w:rsidR="00A0128E">
        <w:rPr/>
        <w:t>integrating</w:t>
      </w:r>
      <w:r w:rsidR="00A0128E">
        <w:rPr/>
        <w:t xml:space="preserve"> 30 </w:t>
      </w:r>
      <w:r w:rsidR="00A0128E">
        <w:rPr/>
        <w:t>collection</w:t>
      </w:r>
      <w:r w:rsidR="00A0128E">
        <w:rPr/>
        <w:t xml:space="preserve"> </w:t>
      </w:r>
      <w:r w:rsidR="00A0128E">
        <w:rPr/>
        <w:t>partners</w:t>
      </w:r>
      <w:r w:rsidR="00A0128E">
        <w:rPr/>
        <w:t xml:space="preserve">, </w:t>
      </w:r>
      <w:r w:rsidR="00A0128E">
        <w:rPr/>
        <w:t>primarily</w:t>
      </w:r>
      <w:r w:rsidR="00A0128E">
        <w:rPr/>
        <w:t xml:space="preserve"> micro, </w:t>
      </w:r>
      <w:r w:rsidR="00A0128E">
        <w:rPr/>
        <w:t>small</w:t>
      </w:r>
      <w:r w:rsidR="00A0128E">
        <w:rPr/>
        <w:t xml:space="preserve">, and </w:t>
      </w:r>
      <w:r w:rsidR="00A0128E">
        <w:rPr/>
        <w:t>medium-sized</w:t>
      </w:r>
      <w:r w:rsidR="00A0128E">
        <w:rPr/>
        <w:t xml:space="preserve"> </w:t>
      </w:r>
      <w:r w:rsidR="00A0128E">
        <w:rPr/>
        <w:t>enterprises</w:t>
      </w:r>
      <w:r w:rsidR="00A0128E">
        <w:rPr/>
        <w:t xml:space="preserve"> (</w:t>
      </w:r>
      <w:r w:rsidR="00A0128E">
        <w:rPr/>
        <w:t>MSMEs</w:t>
      </w:r>
      <w:r w:rsidR="00A0128E">
        <w:rPr/>
        <w:t xml:space="preserve">), and </w:t>
      </w:r>
      <w:r w:rsidR="00A0128E">
        <w:rPr/>
        <w:t>will</w:t>
      </w:r>
      <w:r w:rsidR="00A0128E">
        <w:rPr/>
        <w:t xml:space="preserve"> </w:t>
      </w:r>
      <w:r w:rsidR="00A0128E">
        <w:rPr/>
        <w:t>help</w:t>
      </w:r>
      <w:r w:rsidR="00A0128E">
        <w:rPr/>
        <w:t xml:space="preserve"> </w:t>
      </w:r>
      <w:r w:rsidR="00A0128E">
        <w:rPr/>
        <w:t>generate</w:t>
      </w:r>
      <w:r w:rsidR="00A0128E">
        <w:rPr/>
        <w:t xml:space="preserve"> </w:t>
      </w:r>
      <w:r w:rsidR="00A0128E">
        <w:rPr/>
        <w:t>approximately</w:t>
      </w:r>
      <w:r w:rsidR="00A0128E">
        <w:rPr/>
        <w:t xml:space="preserve"> 650 </w:t>
      </w:r>
      <w:r w:rsidR="00A0128E">
        <w:rPr/>
        <w:t>indirect</w:t>
      </w:r>
      <w:r w:rsidR="00A0128E">
        <w:rPr/>
        <w:t xml:space="preserve"> </w:t>
      </w:r>
      <w:r w:rsidR="00A0128E">
        <w:rPr/>
        <w:t>jobs</w:t>
      </w:r>
      <w:r w:rsidR="00A0128E">
        <w:rPr/>
        <w:t xml:space="preserve"> </w:t>
      </w:r>
      <w:r w:rsidR="00A0128E">
        <w:rPr/>
        <w:t>for</w:t>
      </w:r>
      <w:r w:rsidR="00A0128E">
        <w:rPr/>
        <w:t xml:space="preserve"> </w:t>
      </w:r>
      <w:r w:rsidR="00A0128E">
        <w:rPr/>
        <w:t>urban</w:t>
      </w:r>
      <w:r w:rsidR="00A0128E">
        <w:rPr/>
        <w:t xml:space="preserve"> </w:t>
      </w:r>
      <w:r w:rsidR="00A0128E">
        <w:rPr/>
        <w:t>waste</w:t>
      </w:r>
      <w:r w:rsidR="00A0128E">
        <w:rPr/>
        <w:t xml:space="preserve"> </w:t>
      </w:r>
      <w:r w:rsidR="00A0128E">
        <w:rPr/>
        <w:t>collectors</w:t>
      </w:r>
      <w:r w:rsidR="00A0128E">
        <w:rPr/>
        <w:t xml:space="preserve"> and </w:t>
      </w:r>
      <w:r w:rsidR="00A0128E">
        <w:rPr/>
        <w:t>other</w:t>
      </w:r>
      <w:r w:rsidR="00A0128E">
        <w:rPr/>
        <w:t xml:space="preserve"> </w:t>
      </w:r>
      <w:r w:rsidR="00A0128E">
        <w:rPr/>
        <w:t>participants</w:t>
      </w:r>
      <w:r w:rsidR="00A0128E">
        <w:rPr/>
        <w:t xml:space="preserve"> in </w:t>
      </w:r>
      <w:r w:rsidR="00A0128E">
        <w:rPr/>
        <w:t>this</w:t>
      </w:r>
      <w:r w:rsidR="00A0128E">
        <w:rPr/>
        <w:t xml:space="preserve"> </w:t>
      </w:r>
      <w:r w:rsidR="00A0128E">
        <w:rPr/>
        <w:t>activity</w:t>
      </w:r>
      <w:r w:rsidR="00A0128E">
        <w:rPr/>
        <w:t>.</w:t>
      </w:r>
    </w:p>
    <w:p w:rsidR="00AD1799" w:rsidRDefault="00A0128E" w14:paraId="30C64250" w14:textId="7BF66CE1">
      <w:pPr>
        <w:spacing w:before="240" w:after="240"/>
        <w:jc w:val="both"/>
      </w:pPr>
      <w:r>
        <w:t>The recovered PET will be transported to PetStar, the world’s largest food-grade PET recycling plant, located in the State of Mexico, where it will be transformed into food-grade recycled resin for the production of new containers, thereby closing the bottle-to-bottle cycle.</w:t>
      </w:r>
    </w:p>
    <w:p w:rsidR="00AD1799" w:rsidRDefault="00A0128E" w14:paraId="40EAD3C0" w14:textId="77777777">
      <w:pPr>
        <w:spacing w:before="240" w:after="240"/>
        <w:jc w:val="both"/>
      </w:pPr>
      <w:r>
        <w:t>In addition, the center will feature a Vive PetStar Learning Center, a space open to the public where tours and educational experiences will allow students, government officials, and community members to experience this circular economy model firsthand and understand the importance of recovering containers so they can be reincorporated into the production chain. Interested individuals and groups may request visits at petstar.mx.</w:t>
      </w:r>
    </w:p>
    <w:p w:rsidR="00AD1799" w:rsidRDefault="00A0128E" w14:paraId="0BCA3AAE" w14:textId="46CE34BA">
      <w:pPr>
        <w:spacing w:before="240" w:after="240"/>
        <w:jc w:val="both"/>
        <w:rPr>
          <w:i/>
          <w:iCs/>
        </w:rPr>
      </w:pPr>
      <w:r w:rsidRPr="00F44104">
        <w:t>“</w:t>
      </w:r>
      <w:r w:rsidRPr="00777A85" w:rsidR="00777A85">
        <w:t>Given the climate emergency and biodiversity loss, it is essential for companies to place sustainability at the core of their business models. In this regard, I commend Arca Continental and Coca-Cola Mexico for their commitment to the circular economy through PetStar, a model that makes it possible to transform recovered bottles into new containers by incorporating recycled content</w:t>
      </w:r>
      <w:r w:rsidRPr="00F44104">
        <w:t>”</w:t>
      </w:r>
      <w:r>
        <w:t>,</w:t>
      </w:r>
      <w:r w:rsidRPr="00F44104">
        <w:t xml:space="preserve"> </w:t>
      </w:r>
      <w:r>
        <w:rPr>
          <w:b/>
          <w:bCs/>
        </w:rPr>
        <w:t xml:space="preserve">said </w:t>
      </w:r>
      <w:r w:rsidRPr="00F44104" w:rsidR="00F44104">
        <w:rPr>
          <w:b/>
          <w:bCs/>
        </w:rPr>
        <w:t>Ulises Alejandro Fernández Gamboa</w:t>
      </w:r>
      <w:r w:rsidR="00F44104">
        <w:rPr>
          <w:b/>
          <w:bCs/>
        </w:rPr>
        <w:t xml:space="preserve">, </w:t>
      </w:r>
      <w:r w:rsidRPr="00F44104" w:rsidR="00F44104">
        <w:rPr>
          <w:b/>
          <w:bCs/>
        </w:rPr>
        <w:t>Secretary of Innovation and Economic Development</w:t>
      </w:r>
      <w:r w:rsidR="00F44104">
        <w:rPr>
          <w:b/>
          <w:bCs/>
        </w:rPr>
        <w:t xml:space="preserve"> of Chihuahua.</w:t>
      </w:r>
    </w:p>
    <w:p w:rsidR="00AD1799" w:rsidRDefault="00A0128E" w14:paraId="6839D517" w14:textId="77777777">
      <w:pPr>
        <w:spacing w:before="240" w:after="240"/>
        <w:jc w:val="both"/>
      </w:pPr>
      <w:r>
        <w:t xml:space="preserve">According to </w:t>
      </w:r>
      <w:r>
        <w:rPr>
          <w:b/>
          <w:bCs/>
        </w:rPr>
        <w:t>Carlos Mendieta, Director of Public Affairs, Communications, and Sustainability at PetStar</w:t>
      </w:r>
      <w:r>
        <w:t>, “With the inauguration of our Collection Center and Vive PetStar Learning Center, we are strengthening local PET recovery, encouraging community participation, and demonstrating that, Bottle to Bottle, we make a difference by generating social, environmental, and economic value for Mexico.”</w:t>
      </w:r>
    </w:p>
    <w:p w:rsidR="00AD1799" w:rsidRDefault="00A0128E" w14:paraId="0DB0AFD2" w14:textId="77777777">
      <w:pPr>
        <w:spacing w:before="240" w:after="240"/>
        <w:jc w:val="both"/>
      </w:pPr>
      <w:r>
        <w:t xml:space="preserve">For his part, </w:t>
      </w:r>
      <w:r>
        <w:rPr>
          <w:b/>
          <w:bCs/>
        </w:rPr>
        <w:t>David Reyna Cantú, Arca Continental Northern Region Director, said</w:t>
      </w:r>
      <w:r>
        <w:t>: “</w:t>
      </w:r>
      <w:r>
        <w:rPr>
          <w:i/>
          <w:iCs/>
        </w:rPr>
        <w:t>This investment allows us to continue strengthening the infrastructure needed to recover and recycle more and more containers, while also generating value for communities. At Arca Continental, together with PetStar and our partners, we will continue advancing initiatives that reinforce our leadership in the circular economy in Mexico.”</w:t>
      </w:r>
    </w:p>
    <w:p w:rsidR="00AD1799" w:rsidRDefault="00A0128E" w14:paraId="4E55C44F" w14:textId="77777777">
      <w:pPr>
        <w:spacing w:before="240" w:after="240"/>
        <w:jc w:val="both"/>
      </w:pPr>
      <w:r>
        <w:t>As it marks 100 years since becoming the first Coca-Cola bottler in Mexico, Arca Continental continues to strengthen initiatives aligned with its sustainable business model to advance the circular economy for its packaging and continue generating shared value for the environment, people, and the communities where it operates.</w:t>
      </w:r>
    </w:p>
    <w:p w:rsidR="00AD1799" w:rsidRDefault="00A0128E" w14:paraId="4B58ED4E" w14:textId="77777777">
      <w:pPr>
        <w:spacing w:after="0" w:line="240" w:lineRule="auto"/>
        <w:jc w:val="center"/>
      </w:pPr>
      <w:r>
        <w:t>====///====</w:t>
      </w:r>
    </w:p>
    <w:p w:rsidR="00AD1799" w:rsidRDefault="00AD1799" w14:paraId="2D94A4AD" w14:textId="77777777">
      <w:pPr>
        <w:spacing w:after="0" w:line="240" w:lineRule="auto"/>
        <w:jc w:val="both"/>
      </w:pPr>
    </w:p>
    <w:p w:rsidR="00AD1799" w:rsidRDefault="00A0128E" w14:paraId="3A7E446F" w14:textId="77777777">
      <w:pPr>
        <w:spacing w:after="0" w:line="240" w:lineRule="auto"/>
        <w:jc w:val="both"/>
        <w:rPr>
          <w:b/>
          <w:bCs/>
        </w:rPr>
      </w:pPr>
      <w:r>
        <w:rPr>
          <w:b/>
          <w:bCs/>
        </w:rPr>
        <w:t>About Arca Continental</w:t>
      </w:r>
    </w:p>
    <w:p w:rsidR="00AD1799" w:rsidRDefault="00A0128E" w14:paraId="19142A06" w14:textId="77777777">
      <w:pPr>
        <w:spacing w:line="240" w:lineRule="auto"/>
        <w:jc w:val="both"/>
      </w:pPr>
      <w:r>
        <w:t>Arca Continental is a company engaged in the production, distribution, and sale of beverages under brands owned by  The Coca-Cola Company, as well as savory snacks under the Bokados brand in Mexico, Inalecsa in Ecuador, and Wise in the United States. With an outstanding track record spanning more than 100 years, Arca Continental is the second-largest Coca-Cola bottler in the Americas and one of the most important in the world. Through its Coca-Cola franchise, the company serves a population of more than 130</w:t>
      </w:r>
      <w:r>
        <w:t xml:space="preserve"> million across northern and western Mexico, as well as Ecuador, Peru, northern Argentina, and the southwestern United States. Arca Continental is listed on the Mexican Stock Exchange under the ticker symbol “AC.”</w:t>
      </w:r>
    </w:p>
    <w:p w:rsidR="00AD1799" w:rsidRDefault="00A0128E" w14:paraId="359CD789" w14:textId="77777777">
      <w:pPr>
        <w:spacing w:after="0" w:line="240" w:lineRule="auto"/>
        <w:jc w:val="both"/>
      </w:pPr>
      <w:r>
        <w:t xml:space="preserve">For more information about Arca Continental, please visit </w:t>
      </w:r>
      <w:hyperlink r:id="rId7">
        <w:r w:rsidR="00AD1799">
          <w:rPr>
            <w:color w:val="0563C1"/>
            <w:u w:val="single"/>
          </w:rPr>
          <w:t>www.arcacontal.com</w:t>
        </w:r>
      </w:hyperlink>
    </w:p>
    <w:p w:rsidR="00AD1799" w:rsidRDefault="00A0128E" w14:paraId="5D0574D1" w14:textId="77777777">
      <w:pPr>
        <w:spacing w:after="0" w:line="240" w:lineRule="auto"/>
        <w:jc w:val="both"/>
      </w:pPr>
      <w:r>
        <w:t>Social media:</w:t>
      </w:r>
    </w:p>
    <w:p w:rsidR="00AD1799" w:rsidRDefault="00A0128E" w14:paraId="355F4BCB" w14:textId="77777777">
      <w:pPr>
        <w:spacing w:after="0" w:line="240" w:lineRule="auto"/>
        <w:jc w:val="both"/>
      </w:pPr>
      <w:r>
        <w:t xml:space="preserve">·       Facebook: @arcacontinental </w:t>
      </w:r>
    </w:p>
    <w:p w:rsidR="00AD1799" w:rsidRDefault="00A0128E" w14:paraId="23EB8ABB" w14:textId="77777777">
      <w:pPr>
        <w:spacing w:after="0" w:line="240" w:lineRule="auto"/>
        <w:jc w:val="both"/>
      </w:pPr>
      <w:r>
        <w:t>·       Twitter: @arcacontal</w:t>
      </w:r>
    </w:p>
    <w:p w:rsidR="00AD1799" w:rsidRDefault="00A0128E" w14:paraId="1E35F590" w14:textId="77777777">
      <w:pPr>
        <w:spacing w:after="0" w:line="240" w:lineRule="auto"/>
        <w:jc w:val="both"/>
      </w:pPr>
      <w:r>
        <w:t>·       Instagram: @arcacontal</w:t>
      </w:r>
    </w:p>
    <w:p w:rsidR="00AD1799" w:rsidRDefault="00A0128E" w14:paraId="171A4FAF" w14:textId="77777777">
      <w:pPr>
        <w:spacing w:after="0" w:line="240" w:lineRule="auto"/>
        <w:jc w:val="both"/>
      </w:pPr>
      <w:r>
        <w:t>·       LinkedIn: @arcacontinental</w:t>
      </w:r>
    </w:p>
    <w:p w:rsidR="00AD1799" w:rsidRDefault="00A0128E" w14:paraId="676FB328" w14:textId="77777777">
      <w:pPr>
        <w:spacing w:after="0" w:line="240" w:lineRule="auto"/>
        <w:jc w:val="both"/>
      </w:pPr>
      <w:r>
        <w:t xml:space="preserve">Press contact: Arca Continental Mexico Newsroom </w:t>
      </w:r>
      <w:hyperlink r:id="rId8">
        <w:r w:rsidR="00AD1799">
          <w:rPr>
            <w:color w:val="0563C1"/>
            <w:u w:val="single"/>
          </w:rPr>
          <w:t>saladeprensa@arcacontal.com</w:t>
        </w:r>
      </w:hyperlink>
    </w:p>
    <w:p w:rsidR="00AD1799" w:rsidRDefault="00A0128E" w14:paraId="4338E36B" w14:textId="77777777">
      <w:pPr>
        <w:spacing w:line="240" w:lineRule="auto"/>
        <w:jc w:val="both"/>
      </w:pPr>
      <w:r>
        <w:t> </w:t>
      </w:r>
    </w:p>
    <w:p w:rsidR="00AD1799" w:rsidRDefault="00A0128E" w14:paraId="78794A32" w14:textId="77777777">
      <w:pPr>
        <w:jc w:val="both"/>
        <w:rPr>
          <w:color w:val="000000"/>
        </w:rPr>
      </w:pPr>
      <w:r>
        <w:rPr>
          <w:b/>
          <w:bCs/>
          <w:color w:val="000000"/>
        </w:rPr>
        <w:t>About PetStar</w:t>
      </w:r>
    </w:p>
    <w:p w:rsidR="00AD1799" w:rsidRDefault="00A0128E" w14:paraId="6020678F" w14:textId="77777777">
      <w:pPr>
        <w:jc w:val="both"/>
        <w:rPr>
          <w:color w:val="000000"/>
        </w:rPr>
      </w:pPr>
      <w:r>
        <w:rPr>
          <w:color w:val="000000"/>
        </w:rPr>
        <w:t>About PetStar S.A.P.I. de C.V. A Mexican company established in 2006, PetStar is part of the Mexican Coca-Cola Industry (IMCC) and a benchmark for excellence due to its business model, unique worldwide, for the inclusive collection and recycling of PET containers to produce food-grade recycled resin. Its model promotes social mobility and the dignification of waste pickers and PET collectors while generating social, environmental, and economic value in the country. PetStar is led by Arca Continental, Coca-C</w:t>
      </w:r>
      <w:r>
        <w:rPr>
          <w:color w:val="000000"/>
        </w:rPr>
        <w:t xml:space="preserve">ola Mexico, Bepensa Bebidas, Corporación del Fuerte, Corporación Rica, Grupo Embotellador Nayar, and Embotelladora de Colima, reflecting the IMCC’s commitment to sustainability. PetStar operates 8 collection plants, 1 material recovery plant, and the world’s largest food-grade PET recycling plant. For more information about PetStar, visit </w:t>
      </w:r>
      <w:hyperlink r:id="rId9">
        <w:r w:rsidR="00AD1799">
          <w:rPr>
            <w:color w:val="0563C1"/>
            <w:u w:val="single"/>
          </w:rPr>
          <w:t>www.petstar.mx</w:t>
        </w:r>
      </w:hyperlink>
    </w:p>
    <w:p w:rsidR="00AD1799" w:rsidP="30E8330E" w:rsidRDefault="00AD1799" w14:paraId="4CF2320D" w14:textId="3A9DD618">
      <w:pPr>
        <w:spacing w:line="240" w:lineRule="auto"/>
        <w:jc w:val="both"/>
        <w:rPr>
          <w:color w:val="000000" w:themeColor="text1" w:themeTint="FF" w:themeShade="FF"/>
        </w:rPr>
      </w:pPr>
      <w:r w:rsidRPr="30E8330E" w:rsidR="00A0128E">
        <w:rPr>
          <w:color w:val="000000" w:themeColor="text1" w:themeTint="FF" w:themeShade="FF"/>
        </w:rPr>
        <w:t xml:space="preserve">Press </w:t>
      </w:r>
      <w:r w:rsidRPr="30E8330E" w:rsidR="00A0128E">
        <w:rPr>
          <w:color w:val="000000" w:themeColor="text1" w:themeTint="FF" w:themeShade="FF"/>
        </w:rPr>
        <w:t>contact</w:t>
      </w:r>
      <w:r w:rsidRPr="30E8330E" w:rsidR="00A0128E">
        <w:rPr>
          <w:color w:val="000000" w:themeColor="text1" w:themeTint="FF" w:themeShade="FF"/>
        </w:rPr>
        <w:t xml:space="preserve">: Ximena Martínez   </w:t>
      </w:r>
      <w:hyperlink r:id="Rdff07f0402a84855">
        <w:r w:rsidRPr="30E8330E" w:rsidR="00AD1799">
          <w:rPr>
            <w:color w:val="0563C1"/>
            <w:u w:val="single"/>
          </w:rPr>
          <w:t>xmartinez@petstar.mx</w:t>
        </w:r>
      </w:hyperlink>
    </w:p>
    <w:sectPr w:rsidR="00AD1799">
      <w:headerReference w:type="default" r:id="rId11"/>
      <w:footerReference w:type="even" r:id="rId12"/>
      <w:footerReference w:type="default" r:id="rId13"/>
      <w:footerReference w:type="first" r:id="rId14"/>
      <w:pgSz w:w="12240" w:h="15840" w:orient="portrait"/>
      <w:pgMar w:top="1843" w:right="1440" w:bottom="1276"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0128E" w:rsidRDefault="00A0128E" w14:paraId="0E635836" w14:textId="77777777">
      <w:pPr>
        <w:spacing w:after="0" w:line="240" w:lineRule="auto"/>
      </w:pPr>
      <w:r>
        <w:separator/>
      </w:r>
    </w:p>
  </w:endnote>
  <w:endnote w:type="continuationSeparator" w:id="0">
    <w:p w:rsidR="00A0128E" w:rsidRDefault="00A0128E" w14:paraId="54C3955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w:fontKey="{13784734-8DE9-4B60-BBD7-96BD04B6DB62}" r:id="rId1"/>
    <w:embedBold w:fontKey="{31A157DA-B82B-4D00-B24B-7D79BC877DBA}" r:id="rId2"/>
    <w:embedItalic w:fontKey="{B70014C5-01FC-458B-AFA7-293C966B05B0}" r:id="rId3"/>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w:fontKey="{7104A8F7-5839-4FBD-A60B-C85F437B3C61}" r:id="rId4"/>
  </w:font>
  <w:font w:name="Aptos">
    <w:panose1 w:val="020B0004020202020204"/>
    <w:charset w:val="00"/>
    <w:family w:val="swiss"/>
    <w:pitch w:val="variable"/>
    <w:sig w:usb0="20000287" w:usb1="00000003" w:usb2="00000000" w:usb3="00000000" w:csb0="0000019F" w:csb1="00000000"/>
    <w:embedRegular w:fontKey="{8813070C-E8A4-4B63-B4E7-D56CC87974E5}" r:id="rId5"/>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80CA6238-ED24-465F-A90B-DC2F1E15C59A}" r:id="rId6"/>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16677" w:rsidRDefault="00116677" w14:paraId="34ACF11C" w14:textId="29A36021">
    <w:pPr>
      <w:pStyle w:val="Piedepgina"/>
    </w:pPr>
    <w:r>
      <w:rPr>
        <w:noProof/>
      </w:rPr>
      <mc:AlternateContent>
        <mc:Choice Requires="wps">
          <w:drawing>
            <wp:anchor distT="0" distB="0" distL="0" distR="0" simplePos="0" relativeHeight="251663360" behindDoc="0" locked="0" layoutInCell="1" allowOverlap="1" wp14:anchorId="7BABA707" wp14:editId="7C0EF6D4">
              <wp:simplePos x="635" y="635"/>
              <wp:positionH relativeFrom="page">
                <wp:align>center</wp:align>
              </wp:positionH>
              <wp:positionV relativeFrom="page">
                <wp:align>bottom</wp:align>
              </wp:positionV>
              <wp:extent cx="1228725" cy="352425"/>
              <wp:effectExtent l="0" t="0" r="9525" b="0"/>
              <wp:wrapNone/>
              <wp:docPr id="1616092059" name="Cuadro de texto 2" descr="Datos Públicos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28725" cy="352425"/>
                      </a:xfrm>
                      <a:prstGeom prst="rect">
                        <a:avLst/>
                      </a:prstGeom>
                      <a:noFill/>
                      <a:ln>
                        <a:noFill/>
                      </a:ln>
                    </wps:spPr>
                    <wps:txbx>
                      <w:txbxContent>
                        <w:p w:rsidRPr="00116677" w:rsidR="00116677" w:rsidP="00116677" w:rsidRDefault="00116677" w14:paraId="1B72E983" w14:textId="2274F606">
                          <w:pPr>
                            <w:spacing w:after="0"/>
                            <w:rPr>
                              <w:rFonts w:ascii="Aptos" w:hAnsi="Aptos" w:eastAsia="Aptos" w:cs="Aptos"/>
                              <w:noProof/>
                              <w:color w:val="000000"/>
                              <w:sz w:val="20"/>
                              <w:szCs w:val="20"/>
                            </w:rPr>
                          </w:pPr>
                          <w:r w:rsidRPr="00116677">
                            <w:rPr>
                              <w:rFonts w:ascii="Aptos" w:hAnsi="Aptos" w:eastAsia="Aptos" w:cs="Aptos"/>
                              <w:noProof/>
                              <w:color w:val="000000"/>
                              <w:sz w:val="20"/>
                              <w:szCs w:val="20"/>
                            </w:rPr>
                            <w:t>Datos Públicos / 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7BABA707">
              <v:stroke joinstyle="miter"/>
              <v:path gradientshapeok="t" o:connecttype="rect"/>
            </v:shapetype>
            <v:shape id="Cuadro de texto 2" style="position:absolute;margin-left:0;margin-top:0;width:96.75pt;height:27.75pt;z-index:251663360;visibility:visible;mso-wrap-style:none;mso-wrap-distance-left:0;mso-wrap-distance-top:0;mso-wrap-distance-right:0;mso-wrap-distance-bottom:0;mso-position-horizontal:center;mso-position-horizontal-relative:page;mso-position-vertical:bottom;mso-position-vertical-relative:page;v-text-anchor:bottom" alt="Datos Públicos / Public"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">
              <v:fill o:detectmouseclick="t"/>
              <v:textbox style="mso-fit-shape-to-text:t" inset="0,0,0,15pt">
                <w:txbxContent>
                  <w:p w:rsidRPr="00116677" w:rsidR="00116677" w:rsidP="00116677" w:rsidRDefault="00116677" w14:paraId="1B72E983" w14:textId="2274F606">
                    <w:pPr>
                      <w:spacing w:after="0"/>
                      <w:rPr>
                        <w:rFonts w:ascii="Aptos" w:hAnsi="Aptos" w:eastAsia="Aptos" w:cs="Aptos"/>
                        <w:noProof/>
                        <w:color w:val="000000"/>
                        <w:sz w:val="20"/>
                        <w:szCs w:val="20"/>
                      </w:rPr>
                    </w:pPr>
                    <w:r w:rsidRPr="00116677">
                      <w:rPr>
                        <w:rFonts w:ascii="Aptos" w:hAnsi="Aptos" w:eastAsia="Aptos" w:cs="Aptos"/>
                        <w:noProof/>
                        <w:color w:val="000000"/>
                        <w:sz w:val="20"/>
                        <w:szCs w:val="20"/>
                      </w:rPr>
                      <w:t>Datos Públicos / 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AD1799" w:rsidRDefault="00116677" w14:paraId="74330125" w14:textId="1BBD7B0F">
    <w:pPr>
      <w:widowControl w:val="0"/>
      <w:pBdr>
        <w:top w:val="nil"/>
        <w:left w:val="nil"/>
        <w:bottom w:val="nil"/>
        <w:right w:val="nil"/>
        <w:between w:val="nil"/>
      </w:pBdr>
      <w:spacing w:after="0" w:line="276" w:lineRule="auto"/>
    </w:pPr>
    <w:r>
      <w:rPr>
        <w:noProof/>
      </w:rPr>
      <mc:AlternateContent>
        <mc:Choice Requires="wps">
          <w:drawing>
            <wp:anchor distT="0" distB="0" distL="0" distR="0" simplePos="0" relativeHeight="251664384" behindDoc="0" locked="0" layoutInCell="1" allowOverlap="1" wp14:anchorId="4F26BF85" wp14:editId="74E92575">
              <wp:simplePos x="635" y="635"/>
              <wp:positionH relativeFrom="page">
                <wp:align>center</wp:align>
              </wp:positionH>
              <wp:positionV relativeFrom="page">
                <wp:align>bottom</wp:align>
              </wp:positionV>
              <wp:extent cx="1228725" cy="352425"/>
              <wp:effectExtent l="0" t="0" r="9525" b="0"/>
              <wp:wrapNone/>
              <wp:docPr id="468197545" name="Cuadro de texto 3" descr="Datos Públicos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28725" cy="352425"/>
                      </a:xfrm>
                      <a:prstGeom prst="rect">
                        <a:avLst/>
                      </a:prstGeom>
                      <a:noFill/>
                      <a:ln>
                        <a:noFill/>
                      </a:ln>
                    </wps:spPr>
                    <wps:txbx>
                      <w:txbxContent>
                        <w:p w:rsidRPr="00116677" w:rsidR="00116677" w:rsidP="00116677" w:rsidRDefault="00116677" w14:paraId="39864D53" w14:textId="70512AF0">
                          <w:pPr>
                            <w:spacing w:after="0"/>
                            <w:rPr>
                              <w:rFonts w:ascii="Aptos" w:hAnsi="Aptos" w:eastAsia="Aptos" w:cs="Aptos"/>
                              <w:noProof/>
                              <w:color w:val="000000"/>
                              <w:sz w:val="20"/>
                              <w:szCs w:val="20"/>
                            </w:rPr>
                          </w:pPr>
                          <w:r w:rsidRPr="00116677">
                            <w:rPr>
                              <w:rFonts w:ascii="Aptos" w:hAnsi="Aptos" w:eastAsia="Aptos" w:cs="Aptos"/>
                              <w:noProof/>
                              <w:color w:val="000000"/>
                              <w:sz w:val="20"/>
                              <w:szCs w:val="20"/>
                            </w:rPr>
                            <w:t>Datos Públicos / 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4F26BF85">
              <v:stroke joinstyle="miter"/>
              <v:path gradientshapeok="t" o:connecttype="rect"/>
            </v:shapetype>
            <v:shape id="Cuadro de texto 3" style="position:absolute;margin-left:0;margin-top:0;width:96.75pt;height:27.75pt;z-index:251664384;visibility:visible;mso-wrap-style:none;mso-wrap-distance-left:0;mso-wrap-distance-top:0;mso-wrap-distance-right:0;mso-wrap-distance-bottom:0;mso-position-horizontal:center;mso-position-horizontal-relative:page;mso-position-vertical:bottom;mso-position-vertical-relative:page;v-text-anchor:bottom" alt="Datos Públicos / Public"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">
              <v:fill o:detectmouseclick="t"/>
              <v:textbox style="mso-fit-shape-to-text:t" inset="0,0,0,15pt">
                <w:txbxContent>
                  <w:p w:rsidRPr="00116677" w:rsidR="00116677" w:rsidP="00116677" w:rsidRDefault="00116677" w14:paraId="39864D53" w14:textId="70512AF0">
                    <w:pPr>
                      <w:spacing w:after="0"/>
                      <w:rPr>
                        <w:rFonts w:ascii="Aptos" w:hAnsi="Aptos" w:eastAsia="Aptos" w:cs="Aptos"/>
                        <w:noProof/>
                        <w:color w:val="000000"/>
                        <w:sz w:val="20"/>
                        <w:szCs w:val="20"/>
                      </w:rPr>
                    </w:pPr>
                    <w:r w:rsidRPr="00116677">
                      <w:rPr>
                        <w:rFonts w:ascii="Aptos" w:hAnsi="Aptos" w:eastAsia="Aptos" w:cs="Aptos"/>
                        <w:noProof/>
                        <w:color w:val="000000"/>
                        <w:sz w:val="20"/>
                        <w:szCs w:val="20"/>
                      </w:rPr>
                      <w:t>Datos Públicos / Public</w:t>
                    </w:r>
                  </w:p>
                </w:txbxContent>
              </v:textbox>
              <w10:wrap anchorx="page" anchory="page"/>
            </v:shape>
          </w:pict>
        </mc:Fallback>
      </mc:AlternateContent>
    </w:r>
  </w:p>
  <w:tbl>
    <w:tblPr>
      <w:tblStyle w:val="a"/>
      <w:tblW w:w="9360" w:type="dxa"/>
      <w:tblInd w:w="0" w:type="dxa"/>
      <w:tblLayout w:type="fixed"/>
      <w:tblLook w:val="0600" w:firstRow="0" w:lastRow="0" w:firstColumn="0" w:lastColumn="0" w:noHBand="1" w:noVBand="1"/>
    </w:tblPr>
    <w:tblGrid>
      <w:gridCol w:w="3120"/>
      <w:gridCol w:w="3120"/>
      <w:gridCol w:w="3120"/>
    </w:tblGrid>
    <w:tr w:rsidR="00AD1799" w14:paraId="65C0ADBA" w14:textId="77777777">
      <w:trPr>
        <w:trHeight w:val="300"/>
      </w:trPr>
      <w:tc>
        <w:tcPr>
          <w:tcW w:w="3120" w:type="dxa"/>
        </w:tcPr>
        <w:p w:rsidR="00AD1799" w:rsidRDefault="00AD1799" w14:paraId="63BFD8C2" w14:textId="77777777">
          <w:pPr>
            <w:ind w:left="-115"/>
          </w:pPr>
        </w:p>
      </w:tc>
      <w:tc>
        <w:tcPr>
          <w:tcW w:w="3120" w:type="dxa"/>
        </w:tcPr>
        <w:p w:rsidR="00AD1799" w:rsidRDefault="00AD1799" w14:paraId="51EB6F1B" w14:textId="77777777">
          <w:pPr>
            <w:jc w:val="center"/>
          </w:pPr>
        </w:p>
      </w:tc>
      <w:tc>
        <w:tcPr>
          <w:tcW w:w="3120" w:type="dxa"/>
        </w:tcPr>
        <w:p w:rsidR="00AD1799" w:rsidRDefault="00AD1799" w14:paraId="50123679" w14:textId="77777777">
          <w:pPr>
            <w:ind w:right="-115"/>
            <w:jc w:val="right"/>
          </w:pPr>
        </w:p>
      </w:tc>
    </w:tr>
  </w:tbl>
  <w:p w:rsidR="00AD1799" w:rsidRDefault="00AD1799" w14:paraId="2BD59662"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16677" w:rsidRDefault="00116677" w14:paraId="5AF0DD90" w14:textId="46BB0A23">
    <w:pPr>
      <w:pStyle w:val="Piedepgina"/>
    </w:pPr>
    <w:r>
      <w:rPr>
        <w:noProof/>
      </w:rPr>
      <mc:AlternateContent>
        <mc:Choice Requires="wps">
          <w:drawing>
            <wp:anchor distT="0" distB="0" distL="0" distR="0" simplePos="0" relativeHeight="251662336" behindDoc="0" locked="0" layoutInCell="1" allowOverlap="1" wp14:anchorId="1080B2B1" wp14:editId="561B814A">
              <wp:simplePos x="635" y="635"/>
              <wp:positionH relativeFrom="page">
                <wp:align>center</wp:align>
              </wp:positionH>
              <wp:positionV relativeFrom="page">
                <wp:align>bottom</wp:align>
              </wp:positionV>
              <wp:extent cx="1228725" cy="352425"/>
              <wp:effectExtent l="0" t="0" r="9525" b="0"/>
              <wp:wrapNone/>
              <wp:docPr id="1662423665" name="Cuadro de texto 1" descr="Datos Públicos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28725" cy="352425"/>
                      </a:xfrm>
                      <a:prstGeom prst="rect">
                        <a:avLst/>
                      </a:prstGeom>
                      <a:noFill/>
                      <a:ln>
                        <a:noFill/>
                      </a:ln>
                    </wps:spPr>
                    <wps:txbx>
                      <w:txbxContent>
                        <w:p w:rsidRPr="00116677" w:rsidR="00116677" w:rsidP="00116677" w:rsidRDefault="00116677" w14:paraId="4B2CEB15" w14:textId="154368E3">
                          <w:pPr>
                            <w:spacing w:after="0"/>
                            <w:rPr>
                              <w:rFonts w:ascii="Aptos" w:hAnsi="Aptos" w:eastAsia="Aptos" w:cs="Aptos"/>
                              <w:noProof/>
                              <w:color w:val="000000"/>
                              <w:sz w:val="20"/>
                              <w:szCs w:val="20"/>
                            </w:rPr>
                          </w:pPr>
                          <w:r w:rsidRPr="00116677">
                            <w:rPr>
                              <w:rFonts w:ascii="Aptos" w:hAnsi="Aptos" w:eastAsia="Aptos" w:cs="Aptos"/>
                              <w:noProof/>
                              <w:color w:val="000000"/>
                              <w:sz w:val="20"/>
                              <w:szCs w:val="20"/>
                            </w:rPr>
                            <w:t>Datos Públicos / 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1080B2B1">
              <v:stroke joinstyle="miter"/>
              <v:path gradientshapeok="t" o:connecttype="rect"/>
            </v:shapetype>
            <v:shape id="Cuadro de texto 1" style="position:absolute;margin-left:0;margin-top:0;width:96.75pt;height:27.75pt;z-index:251662336;visibility:visible;mso-wrap-style:none;mso-wrap-distance-left:0;mso-wrap-distance-top:0;mso-wrap-distance-right:0;mso-wrap-distance-bottom:0;mso-position-horizontal:center;mso-position-horizontal-relative:page;mso-position-vertical:bottom;mso-position-vertical-relative:page;v-text-anchor:bottom" alt="Datos Públicos / Public"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">
              <v:fill o:detectmouseclick="t"/>
              <v:textbox style="mso-fit-shape-to-text:t" inset="0,0,0,15pt">
                <w:txbxContent>
                  <w:p w:rsidRPr="00116677" w:rsidR="00116677" w:rsidP="00116677" w:rsidRDefault="00116677" w14:paraId="4B2CEB15" w14:textId="154368E3">
                    <w:pPr>
                      <w:spacing w:after="0"/>
                      <w:rPr>
                        <w:rFonts w:ascii="Aptos" w:hAnsi="Aptos" w:eastAsia="Aptos" w:cs="Aptos"/>
                        <w:noProof/>
                        <w:color w:val="000000"/>
                        <w:sz w:val="20"/>
                        <w:szCs w:val="20"/>
                      </w:rPr>
                    </w:pPr>
                    <w:r w:rsidRPr="00116677">
                      <w:rPr>
                        <w:rFonts w:ascii="Aptos" w:hAnsi="Aptos" w:eastAsia="Aptos" w:cs="Aptos"/>
                        <w:noProof/>
                        <w:color w:val="000000"/>
                        <w:sz w:val="20"/>
                        <w:szCs w:val="20"/>
                      </w:rPr>
                      <w:t>Datos Públicos / 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0128E" w:rsidRDefault="00A0128E" w14:paraId="7EA1DF19" w14:textId="77777777">
      <w:pPr>
        <w:spacing w:after="0" w:line="240" w:lineRule="auto"/>
      </w:pPr>
      <w:r>
        <w:separator/>
      </w:r>
    </w:p>
  </w:footnote>
  <w:footnote w:type="continuationSeparator" w:id="0">
    <w:p w:rsidR="00A0128E" w:rsidRDefault="00A0128E" w14:paraId="390381B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AD1799" w:rsidRDefault="00A0128E" w14:paraId="047E50C5" w14:textId="77777777">
    <w:pPr>
      <w:tabs>
        <w:tab w:val="left" w:pos="6400"/>
        <w:tab w:val="left" w:pos="7706"/>
      </w:tabs>
    </w:pPr>
    <w:r>
      <w:t xml:space="preserve">                                          </w:t>
    </w:r>
    <w:r>
      <w:tab/>
    </w:r>
    <w:r>
      <w:tab/>
    </w:r>
    <w:r>
      <w:rPr>
        <w:noProof/>
      </w:rPr>
      <w:drawing>
        <wp:anchor distT="0" distB="0" distL="114300" distR="114300" simplePos="0" relativeHeight="251658240" behindDoc="0" locked="0" layoutInCell="1" hidden="0" allowOverlap="1" wp14:anchorId="5312BA66" wp14:editId="1085ABFB">
          <wp:simplePos x="0" y="0"/>
          <wp:positionH relativeFrom="column">
            <wp:posOffset>2361537</wp:posOffset>
          </wp:positionH>
          <wp:positionV relativeFrom="paragraph">
            <wp:posOffset>-59633</wp:posOffset>
          </wp:positionV>
          <wp:extent cx="1272617" cy="569686"/>
          <wp:effectExtent l="0" t="0" r="0" b="0"/>
          <wp:wrapNone/>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l="-1513" r="1113"/>
                  <a:stretch>
                    <a:fillRect/>
                  </a:stretch>
                </pic:blipFill>
                <pic:spPr>
                  <a:xfrm>
                    <a:off x="0" y="0"/>
                    <a:ext cx="1272617" cy="569686"/>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73237640" wp14:editId="327C6CB0">
          <wp:simplePos x="0" y="0"/>
          <wp:positionH relativeFrom="column">
            <wp:posOffset>4055110</wp:posOffset>
          </wp:positionH>
          <wp:positionV relativeFrom="paragraph">
            <wp:posOffset>3810</wp:posOffset>
          </wp:positionV>
          <wp:extent cx="1232546" cy="361243"/>
          <wp:effectExtent l="0" t="0" r="0" b="0"/>
          <wp:wrapNone/>
          <wp:docPr id="1" name="image1.png" descr="PetStar | Almoloya de Juárez"/>
          <wp:cNvGraphicFramePr/>
          <a:graphic xmlns:a="http://schemas.openxmlformats.org/drawingml/2006/main">
            <a:graphicData uri="http://schemas.openxmlformats.org/drawingml/2006/picture">
              <pic:pic xmlns:pic="http://schemas.openxmlformats.org/drawingml/2006/picture">
                <pic:nvPicPr>
                  <pic:cNvPr id="0" name="image1.png" descr="PetStar | Almoloya de Juárez"/>
                  <pic:cNvPicPr preferRelativeResize="0"/>
                </pic:nvPicPr>
                <pic:blipFill>
                  <a:blip r:embed="rId2"/>
                  <a:srcRect t="35345" b="35343"/>
                  <a:stretch>
                    <a:fillRect/>
                  </a:stretch>
                </pic:blipFill>
                <pic:spPr>
                  <a:xfrm>
                    <a:off x="0" y="0"/>
                    <a:ext cx="1232546" cy="361243"/>
                  </a:xfrm>
                  <a:prstGeom prst="rect">
                    <a:avLst/>
                  </a:prstGeom>
                  <a:ln/>
                </pic:spPr>
              </pic:pic>
            </a:graphicData>
          </a:graphic>
        </wp:anchor>
      </w:drawing>
    </w:r>
    <w:r>
      <w:rPr>
        <w:noProof/>
      </w:rPr>
      <w:drawing>
        <wp:anchor distT="0" distB="0" distL="114300" distR="114300" simplePos="0" relativeHeight="251660288" behindDoc="0" locked="0" layoutInCell="1" hidden="0" allowOverlap="1" wp14:anchorId="6A626417" wp14:editId="5BA6C37C">
          <wp:simplePos x="0" y="0"/>
          <wp:positionH relativeFrom="column">
            <wp:posOffset>1</wp:posOffset>
          </wp:positionH>
          <wp:positionV relativeFrom="paragraph">
            <wp:posOffset>11430</wp:posOffset>
          </wp:positionV>
          <wp:extent cx="1470991" cy="282459"/>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
                  <a:srcRect/>
                  <a:stretch>
                    <a:fillRect/>
                  </a:stretch>
                </pic:blipFill>
                <pic:spPr>
                  <a:xfrm>
                    <a:off x="0" y="0"/>
                    <a:ext cx="1470991" cy="282459"/>
                  </a:xfrm>
                  <a:prstGeom prst="rect">
                    <a:avLst/>
                  </a:prstGeom>
                  <a:ln/>
                </pic:spPr>
              </pic:pic>
            </a:graphicData>
          </a:graphic>
        </wp:anchor>
      </w:drawing>
    </w:r>
  </w:p>
  <w:p w:rsidR="00AD1799" w:rsidRDefault="00A0128E" w14:paraId="7CED5AF2" w14:textId="77777777">
    <w:r>
      <w:t xml:space="preserve">                                        </w:t>
    </w:r>
    <w:r>
      <w:rPr>
        <w:noProof/>
      </w:rPr>
      <w:drawing>
        <wp:anchor distT="0" distB="0" distL="0" distR="0" simplePos="0" relativeHeight="251661312" behindDoc="1" locked="0" layoutInCell="1" hidden="0" allowOverlap="1" wp14:anchorId="27A652ED" wp14:editId="32C810A3">
          <wp:simplePos x="0" y="0"/>
          <wp:positionH relativeFrom="column">
            <wp:posOffset>-914399</wp:posOffset>
          </wp:positionH>
          <wp:positionV relativeFrom="paragraph">
            <wp:posOffset>288925</wp:posOffset>
          </wp:positionV>
          <wp:extent cx="7769225" cy="66675"/>
          <wp:effectExtent l="0" t="0" r="0" b="0"/>
          <wp:wrapNone/>
          <wp:docPr id="4" name="image4.png" descr="Forma, Patrón de fondo, Rectángul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4.png" descr="Forma, Patrón de fondo, Rectángulo&#10;&#10;Descripción generada automáticamente"/>
                  <pic:cNvPicPr preferRelativeResize="0"/>
                </pic:nvPicPr>
                <pic:blipFill>
                  <a:blip r:embed="rId4"/>
                  <a:srcRect/>
                  <a:stretch>
                    <a:fillRect/>
                  </a:stretch>
                </pic:blipFill>
                <pic:spPr>
                  <a:xfrm>
                    <a:off x="0" y="0"/>
                    <a:ext cx="7769225" cy="66675"/>
                  </a:xfrm>
                  <a:prstGeom prst="rect">
                    <a:avLst/>
                  </a:prstGeom>
                  <a:ln/>
                </pic:spPr>
              </pic:pic>
            </a:graphicData>
          </a:graphic>
        </wp:anchor>
      </w:drawing>
    </w:r>
  </w:p>
  <w:p w:rsidR="00AD1799" w:rsidRDefault="00A0128E" w14:paraId="38C6FDC3" w14:textId="77777777">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6834CB"/>
    <w:multiLevelType w:val="multilevel"/>
    <w:tmpl w:val="EAB83516"/>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
      <w:lvlJc w:val="left"/>
      <w:pPr>
        <w:ind w:left="1440" w:hanging="360"/>
      </w:pPr>
      <w:rPr>
        <w:rFonts w:ascii="Noto Sans Symbols" w:hAnsi="Noto Sans Symbols" w:eastAsia="Noto Sans Symbols" w:cs="Noto Sans Symbols"/>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num w:numId="1" w16cid:durableId="2511642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TrueTypeFonts/>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1799"/>
    <w:rsid w:val="00000000"/>
    <w:rsid w:val="00116677"/>
    <w:rsid w:val="00353364"/>
    <w:rsid w:val="003933A2"/>
    <w:rsid w:val="006B42D7"/>
    <w:rsid w:val="00777A85"/>
    <w:rsid w:val="00A0128E"/>
    <w:rsid w:val="00AD1799"/>
    <w:rsid w:val="00EF0A20"/>
    <w:rsid w:val="00F44104"/>
    <w:rsid w:val="30E8330E"/>
  </w:rsids>
  <m:mathPr>
    <m:mathFont m:val="Cambria Math"/>
    <m:brkBin m:val="before"/>
    <m:brkBinSub m:val="--"/>
    <m:smallFrac m:val="0"/>
    <m:dispDef/>
    <m:lMargin m:val="0"/>
    <m:rMargin m:val="0"/>
    <m:defJc m:val="centerGroup"/>
    <m:wrapIndent m:val="1440"/>
    <m:intLim m:val="subSup"/>
    <m:naryLim m:val="undOvr"/>
  </m:mathPr>
  <w:themeFontLang w:val="es-MX"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8D5F5"/>
  <w15:docId w15:val="{14EF018E-290F-4A1F-A74F-5C74AFB26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hAnsi="Georgia" w:eastAsia="Georgia" w:cs="Georgia"/>
      <w:i/>
      <w:iCs/>
      <w:color w:val="666666"/>
      <w:sz w:val="48"/>
      <w:szCs w:val="48"/>
    </w:rPr>
  </w:style>
  <w:style w:type="table" w:styleId="a" w:customStyle="1">
    <w:basedOn w:val="TableNormal"/>
    <w:tblPr>
      <w:tblStyleRowBandSize w:val="1"/>
      <w:tblStyleColBandSize w:val="1"/>
      <w:tblCellMar>
        <w:top w:w="0" w:type="dxa"/>
        <w:left w:w="108" w:type="dxa"/>
        <w:bottom w:w="0" w:type="dxa"/>
        <w:right w:w="108" w:type="dxa"/>
      </w:tblCellMar>
    </w:tblPr>
  </w:style>
  <w:style w:type="paragraph" w:styleId="Piedepgina">
    <w:name w:val="footer"/>
    <w:basedOn w:val="Normal"/>
    <w:link w:val="PiedepginaCar"/>
    <w:uiPriority w:val="99"/>
    <w:unhideWhenUsed/>
    <w:rsid w:val="00116677"/>
    <w:pPr>
      <w:tabs>
        <w:tab w:val="center" w:pos="4513"/>
        <w:tab w:val="right" w:pos="9026"/>
      </w:tabs>
      <w:spacing w:after="0" w:line="240" w:lineRule="auto"/>
    </w:pPr>
  </w:style>
  <w:style w:type="character" w:styleId="PiedepginaCar" w:customStyle="1">
    <w:name w:val="Pie de página Car"/>
    <w:basedOn w:val="Fuentedeprrafopredeter"/>
    <w:link w:val="Piedepgina"/>
    <w:uiPriority w:val="99"/>
    <w:rsid w:val="001166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mailto:saladeprensa@arcacontal.com" TargetMode="External" Id="rId8" /><Relationship Type="http://schemas.openxmlformats.org/officeDocument/2006/relationships/footer" Target="footer2.xml" Id="rId13" /><Relationship Type="http://schemas.openxmlformats.org/officeDocument/2006/relationships/settings" Target="settings.xml" Id="rId3" /><Relationship Type="http://schemas.openxmlformats.org/officeDocument/2006/relationships/hyperlink" Target="http://www.arcacontal.com/" TargetMode="External" Id="rId7" /><Relationship Type="http://schemas.openxmlformats.org/officeDocument/2006/relationships/footer" Target="footer1.xml" Id="rId12" /><Relationship Type="http://schemas.openxmlformats.org/officeDocument/2006/relationships/styles" Target="styles.xml" Id="rId2" /><Relationship Type="http://schemas.openxmlformats.org/officeDocument/2006/relationships/theme" Target="theme/theme1.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1.xml" Id="rId11" /><Relationship Type="http://schemas.openxmlformats.org/officeDocument/2006/relationships/footnotes" Target="footnotes.xml" Id="rId5" /><Relationship Type="http://schemas.openxmlformats.org/officeDocument/2006/relationships/fontTable" Target="fontTable.xml" Id="rId15" /><Relationship Type="http://schemas.openxmlformats.org/officeDocument/2006/relationships/webSettings" Target="webSettings.xml" Id="rId4" /><Relationship Type="http://schemas.openxmlformats.org/officeDocument/2006/relationships/hyperlink" Target="https://www.petstar.mx" TargetMode="External" Id="rId9" /><Relationship Type="http://schemas.openxmlformats.org/officeDocument/2006/relationships/footer" Target="footer3.xml" Id="rId14" /><Relationship Type="http://schemas.openxmlformats.org/officeDocument/2006/relationships/hyperlink" Target="mailto:xmartinez@petstar.mx" TargetMode="External" Id="Rdff07f0402a84855"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5fb22e38-1a08-4b06-a6dd-a7ec074d3af8}" enabled="1" method="Privileged" siteId="{433ec967-f454-49f2-b132-d07f81545e02}"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MEDELLIN SERGOVIA MIRANDA (AMXEXT)</dc:creator>
  <lastModifiedBy>MEDELLIN SERGOVIA MIRANDA (AMXEXT)</lastModifiedBy>
  <revision>5</revision>
  <dcterms:created xsi:type="dcterms:W3CDTF">2026-10-14T17:55:00.0000000Z</dcterms:created>
  <dcterms:modified xsi:type="dcterms:W3CDTF">2026-10-14T17:57:41.4852068Z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63169271,60539b9b,1be820a9</vt:lpwstr>
  </property>
  <property fmtid="{D5CDD505-2E9C-101B-9397-08002B2CF9AE}" pid="3" name="ClassificationContentMarkingFooterFontProps">
    <vt:lpwstr>#000000,10,Aptos</vt:lpwstr>
  </property>
  <property fmtid="{D5CDD505-2E9C-101B-9397-08002B2CF9AE}" pid="4" name="ClassificationContentMarkingFooterText">
    <vt:lpwstr>Datos Públicos / Public</vt:lpwstr>
  </property>
</Properties>
</file>